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p w:rsidR="001064F4" w:rsidRPr="00E4717C" w:rsidRDefault="001064F4" w:rsidP="00865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1064F4" w:rsidRPr="00E4717C" w:rsidRDefault="001064F4" w:rsidP="008656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ЛУХСКИЙ МУНИЦИПАЛЬНЫЙ РАЙОН</w:t>
      </w:r>
    </w:p>
    <w:p w:rsidR="001064F4" w:rsidRPr="00E4717C" w:rsidRDefault="001064F4" w:rsidP="0086563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b/>
          <w:bCs/>
          <w:sz w:val="28"/>
          <w:szCs w:val="28"/>
        </w:rPr>
        <w:t>АДМИНИСТРАЦИЯ  БЛАГОВЕЩЕНСКОГО  СЕЛЬСКОГО ПОСЕЛЕНИЯ</w:t>
      </w:r>
    </w:p>
    <w:p w:rsidR="001064F4" w:rsidRPr="00E4717C" w:rsidRDefault="001064F4" w:rsidP="0086563C">
      <w:pPr>
        <w:pStyle w:val="1"/>
        <w:rPr>
          <w:rFonts w:ascii="Times New Roman" w:hAnsi="Times New Roman" w:cs="Times New Roman"/>
        </w:rPr>
      </w:pPr>
    </w:p>
    <w:p w:rsidR="001064F4" w:rsidRPr="00E4717C" w:rsidRDefault="001064F4" w:rsidP="0086563C">
      <w:pPr>
        <w:rPr>
          <w:rFonts w:ascii="Times New Roman" w:hAnsi="Times New Roman" w:cs="Times New Roman"/>
          <w:sz w:val="28"/>
          <w:szCs w:val="28"/>
        </w:rPr>
      </w:pPr>
    </w:p>
    <w:p w:rsidR="001064F4" w:rsidRPr="00E4717C" w:rsidRDefault="001064F4" w:rsidP="0086563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4717C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064F4" w:rsidRPr="00E4717C" w:rsidRDefault="001064F4" w:rsidP="0086563C">
      <w:pPr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4F4" w:rsidRPr="00E4717C" w:rsidRDefault="001064F4" w:rsidP="0086563C">
      <w:pPr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416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60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4717C">
        <w:rPr>
          <w:rFonts w:ascii="Times New Roman" w:hAnsi="Times New Roman" w:cs="Times New Roman"/>
          <w:sz w:val="28"/>
          <w:szCs w:val="28"/>
        </w:rPr>
        <w:t>202</w:t>
      </w:r>
      <w:r w:rsidR="00041609">
        <w:rPr>
          <w:rFonts w:ascii="Times New Roman" w:hAnsi="Times New Roman" w:cs="Times New Roman"/>
          <w:sz w:val="28"/>
          <w:szCs w:val="28"/>
        </w:rPr>
        <w:t>1</w:t>
      </w:r>
      <w:r w:rsidRPr="00E4717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717C">
        <w:rPr>
          <w:rFonts w:ascii="Times New Roman" w:hAnsi="Times New Roman" w:cs="Times New Roman"/>
          <w:sz w:val="28"/>
          <w:szCs w:val="28"/>
        </w:rPr>
        <w:t xml:space="preserve">  №</w:t>
      </w:r>
      <w:r w:rsidR="00041609">
        <w:rPr>
          <w:rFonts w:ascii="Times New Roman" w:hAnsi="Times New Roman" w:cs="Times New Roman"/>
          <w:sz w:val="28"/>
          <w:szCs w:val="28"/>
        </w:rPr>
        <w:t>33</w:t>
      </w:r>
      <w:r w:rsidRPr="00E47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4F4" w:rsidRDefault="001064F4" w:rsidP="006C63B6">
      <w:pPr>
        <w:shd w:val="clear" w:color="auto" w:fill="FFFFFF"/>
        <w:tabs>
          <w:tab w:val="left" w:pos="7925"/>
        </w:tabs>
        <w:spacing w:before="264"/>
        <w:ind w:left="1210"/>
        <w:rPr>
          <w:rFonts w:ascii="Times New Roman" w:hAnsi="Times New Roman" w:cs="Times New Roman"/>
          <w:color w:val="000000"/>
          <w:spacing w:val="-7"/>
        </w:rPr>
      </w:pPr>
    </w:p>
    <w:p w:rsidR="001064F4" w:rsidRDefault="001064F4" w:rsidP="006C63B6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041609">
        <w:rPr>
          <w:rFonts w:ascii="Times New Roman" w:hAnsi="Times New Roman" w:cs="Times New Roman"/>
          <w:color w:val="000000"/>
          <w:sz w:val="28"/>
          <w:szCs w:val="28"/>
        </w:rPr>
        <w:t>утверждении отчета о результатах оценки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расходов Благовещенского сельского поселения</w:t>
      </w:r>
      <w:r w:rsidR="00041609">
        <w:rPr>
          <w:rFonts w:ascii="Times New Roman" w:hAnsi="Times New Roman" w:cs="Times New Roman"/>
          <w:color w:val="000000"/>
          <w:sz w:val="28"/>
          <w:szCs w:val="28"/>
        </w:rPr>
        <w:t xml:space="preserve"> за 2020 год</w:t>
      </w:r>
    </w:p>
    <w:p w:rsidR="001064F4" w:rsidRDefault="001064F4" w:rsidP="006C63B6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064F4" w:rsidRPr="001E3743" w:rsidRDefault="001064F4" w:rsidP="006C63B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5387" w:rsidRPr="00634842" w:rsidRDefault="00634842" w:rsidP="00634842">
      <w:pPr>
        <w:tabs>
          <w:tab w:val="left" w:pos="-42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B55" w:rsidRPr="006348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руководствуясь Налоговым кодексом Российской Федерации, постановлением администрации </w:t>
      </w:r>
      <w:r w:rsidR="001064F4" w:rsidRPr="00634842">
        <w:rPr>
          <w:rFonts w:ascii="Times New Roman" w:hAnsi="Times New Roman" w:cs="Times New Roman"/>
          <w:sz w:val="28"/>
          <w:szCs w:val="28"/>
        </w:rPr>
        <w:t xml:space="preserve">Благовещенского сельского поселения </w:t>
      </w:r>
      <w:r w:rsidR="00D87B55" w:rsidRPr="00634842">
        <w:rPr>
          <w:rFonts w:ascii="Times New Roman" w:hAnsi="Times New Roman" w:cs="Times New Roman"/>
          <w:sz w:val="28"/>
          <w:szCs w:val="28"/>
        </w:rPr>
        <w:t>от 22.04.2020 г. №2</w:t>
      </w:r>
      <w:r w:rsidRPr="00634842">
        <w:rPr>
          <w:rFonts w:ascii="Times New Roman" w:hAnsi="Times New Roman" w:cs="Times New Roman"/>
          <w:sz w:val="28"/>
          <w:szCs w:val="28"/>
        </w:rPr>
        <w:t>7</w:t>
      </w:r>
      <w:r w:rsidR="00D87B55" w:rsidRPr="00634842">
        <w:rPr>
          <w:rFonts w:ascii="Times New Roman" w:hAnsi="Times New Roman" w:cs="Times New Roman"/>
          <w:sz w:val="28"/>
          <w:szCs w:val="28"/>
        </w:rPr>
        <w:t xml:space="preserve"> «</w:t>
      </w:r>
      <w:r w:rsidRPr="00634842">
        <w:rPr>
          <w:rFonts w:ascii="Times New Roman" w:hAnsi="Times New Roman" w:cs="Times New Roman"/>
          <w:bCs/>
          <w:sz w:val="28"/>
          <w:szCs w:val="28"/>
        </w:rPr>
        <w:t>Об утверждении Порядка оценки эффективности налоговых расходов Благовещенского сельского поселения</w:t>
      </w:r>
      <w:r w:rsidR="00BE5387" w:rsidRPr="00634842">
        <w:rPr>
          <w:rFonts w:ascii="Times New Roman" w:hAnsi="Times New Roman" w:cs="Times New Roman"/>
          <w:sz w:val="28"/>
          <w:szCs w:val="28"/>
        </w:rPr>
        <w:t>», администрация Благовещенского сельского поселения:</w:t>
      </w:r>
    </w:p>
    <w:p w:rsidR="001064F4" w:rsidRDefault="001064F4" w:rsidP="006C63B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7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1064F4" w:rsidRDefault="001064F4" w:rsidP="006C63B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E5387" w:rsidRPr="00BE5387" w:rsidRDefault="00BE5387" w:rsidP="00BE5387">
      <w:pPr>
        <w:widowControl/>
        <w:numPr>
          <w:ilvl w:val="0"/>
          <w:numId w:val="10"/>
        </w:numPr>
        <w:ind w:left="0" w:firstLine="54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</w:t>
      </w:r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hyperlink r:id="rId7" w:history="1"/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оценки эффективности налоговых расходов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Благовещен</w:t>
      </w:r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2020 год</w:t>
      </w:r>
      <w:r w:rsidRPr="00BE53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согласно </w:t>
      </w:r>
      <w:r w:rsidRPr="00BE5387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79003E" w:rsidRDefault="0079003E" w:rsidP="007900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79003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на сайте </w:t>
      </w:r>
      <w:r>
        <w:rPr>
          <w:rFonts w:ascii="Times New Roman" w:hAnsi="Times New Roman" w:cs="Times New Roman"/>
          <w:sz w:val="28"/>
          <w:szCs w:val="28"/>
        </w:rPr>
        <w:t>администрации Благовещен</w:t>
      </w:r>
      <w:r w:rsidRPr="0079003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03E" w:rsidRDefault="0079003E" w:rsidP="007900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0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0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064F4" w:rsidRPr="0079003E" w:rsidRDefault="0079003E" w:rsidP="0079003E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79003E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7900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4F4" w:rsidRPr="0079003E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Pr="00701718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064F4" w:rsidRPr="00701718" w:rsidRDefault="001064F4" w:rsidP="000A33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F4" w:rsidRDefault="001064F4" w:rsidP="008656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0171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1064F4" w:rsidRPr="00701718" w:rsidRDefault="001064F4" w:rsidP="0086563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 Куликова Г.А. </w:t>
      </w:r>
    </w:p>
    <w:p w:rsidR="001064F4" w:rsidRPr="00701718" w:rsidRDefault="001064F4" w:rsidP="000A330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79003E" w:rsidRDefault="0079003E" w:rsidP="00BA20E5">
      <w:pPr>
        <w:pStyle w:val="aa"/>
        <w:spacing w:after="0" w:line="100" w:lineRule="atLeast"/>
        <w:jc w:val="center"/>
        <w:rPr>
          <w:rFonts w:cs="Arial"/>
        </w:rPr>
      </w:pPr>
    </w:p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tbl>
      <w:tblPr>
        <w:tblW w:w="0" w:type="auto"/>
        <w:tblInd w:w="-106" w:type="dxa"/>
        <w:tblLook w:val="00A0"/>
      </w:tblPr>
      <w:tblGrid>
        <w:gridCol w:w="3095"/>
        <w:gridCol w:w="1833"/>
        <w:gridCol w:w="5103"/>
      </w:tblGrid>
      <w:tr w:rsidR="001064F4" w:rsidRPr="003E5CD5">
        <w:tc>
          <w:tcPr>
            <w:tcW w:w="3095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Calibri" w:hAnsi="Calibri" w:cs="Calibri"/>
                <w:color w:val="00000A"/>
                <w:sz w:val="22"/>
                <w:szCs w:val="22"/>
                <w:lang w:eastAsia="en-US"/>
              </w:rPr>
              <w:lastRenderedPageBreak/>
              <w:br w:type="page"/>
            </w:r>
          </w:p>
        </w:tc>
        <w:tc>
          <w:tcPr>
            <w:tcW w:w="1833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1064F4" w:rsidRPr="003E5CD5">
        <w:tc>
          <w:tcPr>
            <w:tcW w:w="3095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833" w:type="dxa"/>
          </w:tcPr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</w:tcPr>
          <w:p w:rsidR="001064F4" w:rsidRPr="003E5CD5" w:rsidRDefault="001064F4" w:rsidP="007C762F">
            <w:pPr>
              <w:tabs>
                <w:tab w:val="left" w:pos="-426"/>
              </w:tabs>
              <w:ind w:firstLine="34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4F4" w:rsidRDefault="001064F4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</w:p>
          <w:p w:rsidR="001064F4" w:rsidRPr="003E5CD5" w:rsidRDefault="001064F4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041609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416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04160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E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64F4" w:rsidRPr="003E5CD5" w:rsidRDefault="001064F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041609" w:rsidRPr="006C529F" w:rsidRDefault="00041609" w:rsidP="0004160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>ОТЧЕТ о результатах</w:t>
      </w:r>
    </w:p>
    <w:p w:rsidR="00041609" w:rsidRPr="006C529F" w:rsidRDefault="00041609" w:rsidP="0004160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Благовещенского сельского поселения</w:t>
      </w:r>
    </w:p>
    <w:p w:rsidR="00041609" w:rsidRPr="006C529F" w:rsidRDefault="00041609" w:rsidP="00041609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9F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C52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1609" w:rsidRDefault="00041609" w:rsidP="00041609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1609" w:rsidRDefault="00041609" w:rsidP="00041609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25.05.2021 г.</w:t>
      </w:r>
    </w:p>
    <w:p w:rsidR="00041609" w:rsidRDefault="00041609" w:rsidP="00041609">
      <w:pPr>
        <w:spacing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    </w:t>
      </w:r>
      <w:r w:rsidRPr="00D74FCA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2020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Благовещенского сельского поселения от 22.04.2020 №27 «</w:t>
      </w:r>
      <w:r w:rsidRPr="00D74FC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оценки эффективности налоговых расходов Благовещенского сельского поселения» </w:t>
      </w:r>
      <w:r w:rsidRPr="00D74FCA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 xml:space="preserve">      Для проведения оценки эффективности налоговых расходов Благовещенского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предоставленными МИФНС России №3 по Ивановской области.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 xml:space="preserve">      В соответствии с Порядком формирования перечня  налоговых расходов Благовещенского сельского поселения, действовавших в 2020 году.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 xml:space="preserve">      В зависимости от целевой категории определены основные виды налоговых расходов на территории Благовещенского сельского поселения: социальные и технические.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 xml:space="preserve">       В ходе проведения оценки эффективности налоговых расходов осуществлялась оценка целесообразности 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 xml:space="preserve">              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Благовещенского сельского поселения на очередной финансовый год и плановый период:</w:t>
      </w:r>
    </w:p>
    <w:p w:rsidR="00041609" w:rsidRPr="00D74FCA" w:rsidRDefault="00041609" w:rsidP="00041609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0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6808"/>
        <w:gridCol w:w="2689"/>
      </w:tblGrid>
      <w:tr w:rsidR="00041609" w:rsidRPr="00D74FCA" w:rsidTr="0054255F">
        <w:tc>
          <w:tcPr>
            <w:tcW w:w="7376" w:type="dxa"/>
            <w:gridSpan w:val="2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041609" w:rsidRPr="00D74FCA" w:rsidTr="0054255F">
        <w:tc>
          <w:tcPr>
            <w:tcW w:w="10065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налоговых расходов местного бюджета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Благовещенского сельского поселения от 28.11.2018 №33 «Об установлении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ставок земельного налога на территории Благовещенского сельского поселения» (в редакции Решения Совета 22.04.19,04.03.2020) 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муниципального образования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Предоставление в налоговые органы документов, подтверждающих право на налоговые льготы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1. Учреждения культуры, искусства, кинематографии, образования, здравоохранения, социального обслуживания, органы местного самоуправления;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2. Участники  и инвалиды Великой Отечественной войны, а так же граждане, на которых законодательством распространены социальные гарантии и льготы участников Великой Отечественной войны; 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- инвалиды 1 и 2 групп;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- граждане, подвергшиеся воздействию радиации в следствии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- 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организации, учреждения и физические лица, которым предоставлены земли, отведенные под кладбища и места погребения;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- организации, учреждения и физические лица, которым предоставлены земли для организации свалок бытовых отходов и прочих отходов и мусора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Неограничен  (до даты прекращения действия льготы)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Не установлены </w:t>
            </w:r>
          </w:p>
        </w:tc>
      </w:tr>
      <w:tr w:rsidR="00041609" w:rsidRPr="00D74FCA" w:rsidTr="0054255F">
        <w:tc>
          <w:tcPr>
            <w:tcW w:w="10065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II. Целевые характеристики налоговых расходов муниципального образования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земельного налога 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обеспечении социальной поддержки слабозащищенным слоям населения 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налогообложения 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Полное освобождение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государственных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поддержки населения 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ОКВЭД)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54255F">
        <w:tc>
          <w:tcPr>
            <w:tcW w:w="10065" w:type="dxa"/>
            <w:gridSpan w:val="3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I. Фискальные характеристики налоговых расходов муниципального образования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689" w:type="dxa"/>
          </w:tcPr>
          <w:p w:rsidR="00041609" w:rsidRPr="002D0AAD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019 г.         2020 г.</w:t>
            </w:r>
          </w:p>
          <w:p w:rsidR="00041609" w:rsidRPr="002D0AAD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1.103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1.103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 xml:space="preserve">2. 6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2. 6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89" w:type="dxa"/>
          </w:tcPr>
          <w:p w:rsidR="00041609" w:rsidRPr="002D0AAD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  <w:r w:rsidR="0016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2020;</w:t>
            </w:r>
            <w:r w:rsidR="001615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2021;  2022</w:t>
            </w:r>
          </w:p>
          <w:p w:rsidR="00041609" w:rsidRPr="002D0AAD" w:rsidRDefault="00041609" w:rsidP="005425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1.103;1.103; 1.103; 1.103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 xml:space="preserve">2.6     </w:t>
            </w:r>
            <w:r w:rsidR="001615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0AAD">
              <w:rPr>
                <w:rFonts w:ascii="Times New Roman" w:hAnsi="Times New Roman" w:cs="Times New Roman"/>
                <w:sz w:val="24"/>
                <w:szCs w:val="24"/>
              </w:rPr>
              <w:t>2.6       2.6      2.6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2019 г.         2020 г.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2. 25          2. 25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Эффективен </w:t>
            </w:r>
          </w:p>
        </w:tc>
      </w:tr>
      <w:tr w:rsidR="00041609" w:rsidRPr="00D74FCA" w:rsidTr="0054255F">
        <w:tc>
          <w:tcPr>
            <w:tcW w:w="568" w:type="dxa"/>
          </w:tcPr>
          <w:p w:rsidR="00041609" w:rsidRPr="00D74FCA" w:rsidRDefault="00041609" w:rsidP="000416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7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8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689" w:type="dxa"/>
          </w:tcPr>
          <w:p w:rsidR="00041609" w:rsidRPr="00D74FCA" w:rsidRDefault="00041609" w:rsidP="0054255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74FCA">
              <w:rPr>
                <w:rFonts w:ascii="Times New Roman" w:hAnsi="Times New Roman" w:cs="Times New Roman"/>
                <w:sz w:val="28"/>
                <w:szCs w:val="28"/>
              </w:rPr>
              <w:t>Стимулирующие налоговые расходы не предоставлялись</w:t>
            </w:r>
          </w:p>
        </w:tc>
      </w:tr>
    </w:tbl>
    <w:p w:rsidR="00041609" w:rsidRPr="00D74FCA" w:rsidRDefault="00041609" w:rsidP="000416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0416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0416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 xml:space="preserve">          Целью налогового расхода является социальная поддержка населения.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 xml:space="preserve">         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 xml:space="preserve">          Предоставление данного вида льгот носит заявительный характер.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>Критерием результативности налогового расхода, в соответствии с целями социально-экономической политики Благовещенского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социально-экономической политики Благовещенского сельского поселения, их эффективность определяется социальной значимостью.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 xml:space="preserve">        </w:t>
      </w:r>
      <w:r w:rsidR="00BF1D1B">
        <w:rPr>
          <w:rFonts w:ascii="Times New Roman" w:hAnsi="Times New Roman" w:cs="Times New Roman"/>
          <w:sz w:val="28"/>
          <w:szCs w:val="28"/>
        </w:rPr>
        <w:t xml:space="preserve">  </w:t>
      </w:r>
      <w:r w:rsidRPr="00D74FCA">
        <w:rPr>
          <w:rFonts w:ascii="Times New Roman" w:hAnsi="Times New Roman" w:cs="Times New Roman"/>
          <w:sz w:val="28"/>
          <w:szCs w:val="28"/>
        </w:rPr>
        <w:t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4FCA">
        <w:rPr>
          <w:rFonts w:ascii="Times New Roman" w:hAnsi="Times New Roman" w:cs="Times New Roman"/>
          <w:sz w:val="28"/>
          <w:szCs w:val="28"/>
        </w:rPr>
        <w:t>Оценку эффективности финансовых и социальных налоговых расходов признать эффективной.</w:t>
      </w: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41609" w:rsidRPr="00D74FCA" w:rsidRDefault="00041609" w:rsidP="00BF1D1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041609" w:rsidRPr="00D74FCA" w:rsidSect="00A74CA8">
      <w:pgSz w:w="11904" w:h="16836" w:code="9"/>
      <w:pgMar w:top="426" w:right="567" w:bottom="28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A8" w:rsidRDefault="005B71A8" w:rsidP="007E1E66">
      <w:r>
        <w:separator/>
      </w:r>
    </w:p>
  </w:endnote>
  <w:endnote w:type="continuationSeparator" w:id="0">
    <w:p w:rsidR="005B71A8" w:rsidRDefault="005B71A8" w:rsidP="007E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A8" w:rsidRDefault="005B71A8" w:rsidP="007E1E66">
      <w:r>
        <w:separator/>
      </w:r>
    </w:p>
  </w:footnote>
  <w:footnote w:type="continuationSeparator" w:id="0">
    <w:p w:rsidR="005B71A8" w:rsidRDefault="005B71A8" w:rsidP="007E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E78"/>
    <w:multiLevelType w:val="hybridMultilevel"/>
    <w:tmpl w:val="57B671FE"/>
    <w:lvl w:ilvl="0" w:tplc="E9F63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28D8"/>
    <w:multiLevelType w:val="hybridMultilevel"/>
    <w:tmpl w:val="F1026824"/>
    <w:lvl w:ilvl="0" w:tplc="139A4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22BEC"/>
    <w:multiLevelType w:val="hybridMultilevel"/>
    <w:tmpl w:val="6AB2AE88"/>
    <w:lvl w:ilvl="0" w:tplc="74B8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239FD"/>
    <w:multiLevelType w:val="hybridMultilevel"/>
    <w:tmpl w:val="2C82D0BC"/>
    <w:lvl w:ilvl="0" w:tplc="9BC2E0DE">
      <w:start w:val="1"/>
      <w:numFmt w:val="decimal"/>
      <w:lvlText w:val="%1."/>
      <w:lvlJc w:val="left"/>
      <w:pPr>
        <w:ind w:left="96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71A6E"/>
    <w:multiLevelType w:val="multilevel"/>
    <w:tmpl w:val="FA7C02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>
    <w:nsid w:val="41C02DF2"/>
    <w:multiLevelType w:val="hybridMultilevel"/>
    <w:tmpl w:val="E5128010"/>
    <w:lvl w:ilvl="0" w:tplc="0414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211420"/>
    <w:multiLevelType w:val="hybridMultilevel"/>
    <w:tmpl w:val="628056E4"/>
    <w:lvl w:ilvl="0" w:tplc="31142C2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0DA7D4E"/>
    <w:multiLevelType w:val="multilevel"/>
    <w:tmpl w:val="FC642E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879" w:hanging="1170"/>
      </w:pPr>
    </w:lvl>
    <w:lvl w:ilvl="2">
      <w:start w:val="1"/>
      <w:numFmt w:val="decimal"/>
      <w:isLgl/>
      <w:lvlText w:val="%1.%2.%3"/>
      <w:lvlJc w:val="left"/>
      <w:pPr>
        <w:ind w:left="2228" w:hanging="1170"/>
      </w:pPr>
    </w:lvl>
    <w:lvl w:ilvl="3">
      <w:start w:val="1"/>
      <w:numFmt w:val="decimal"/>
      <w:isLgl/>
      <w:lvlText w:val="%1.%2.%3.%4"/>
      <w:lvlJc w:val="left"/>
      <w:pPr>
        <w:ind w:left="2577" w:hanging="1170"/>
      </w:pPr>
    </w:lvl>
    <w:lvl w:ilvl="4">
      <w:start w:val="1"/>
      <w:numFmt w:val="decimal"/>
      <w:isLgl/>
      <w:lvlText w:val="%1.%2.%3.%4.%5"/>
      <w:lvlJc w:val="left"/>
      <w:pPr>
        <w:ind w:left="2926" w:hanging="117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8">
    <w:nsid w:val="632005D9"/>
    <w:multiLevelType w:val="hybridMultilevel"/>
    <w:tmpl w:val="6D80349E"/>
    <w:lvl w:ilvl="0" w:tplc="0DC81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402FAD"/>
    <w:multiLevelType w:val="hybridMultilevel"/>
    <w:tmpl w:val="5FD6EDF6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A20E5"/>
    <w:rsid w:val="00006342"/>
    <w:rsid w:val="00032B5E"/>
    <w:rsid w:val="00035DBA"/>
    <w:rsid w:val="00041609"/>
    <w:rsid w:val="0006059D"/>
    <w:rsid w:val="00081B61"/>
    <w:rsid w:val="000971C8"/>
    <w:rsid w:val="000A3300"/>
    <w:rsid w:val="000B0A9A"/>
    <w:rsid w:val="000B7D86"/>
    <w:rsid w:val="000C4F9F"/>
    <w:rsid w:val="000E6B83"/>
    <w:rsid w:val="001064F4"/>
    <w:rsid w:val="00114203"/>
    <w:rsid w:val="0015628A"/>
    <w:rsid w:val="0016153F"/>
    <w:rsid w:val="001822D8"/>
    <w:rsid w:val="00190C9F"/>
    <w:rsid w:val="001C650C"/>
    <w:rsid w:val="001E32E4"/>
    <w:rsid w:val="001E3743"/>
    <w:rsid w:val="001F3B75"/>
    <w:rsid w:val="00217FF5"/>
    <w:rsid w:val="00295BBC"/>
    <w:rsid w:val="002B4C43"/>
    <w:rsid w:val="002E1DF5"/>
    <w:rsid w:val="00326F32"/>
    <w:rsid w:val="00397CDE"/>
    <w:rsid w:val="003E163E"/>
    <w:rsid w:val="003E5CD5"/>
    <w:rsid w:val="004516B4"/>
    <w:rsid w:val="00475D94"/>
    <w:rsid w:val="004A6629"/>
    <w:rsid w:val="004C0CE7"/>
    <w:rsid w:val="004C21E2"/>
    <w:rsid w:val="004D661F"/>
    <w:rsid w:val="0053236C"/>
    <w:rsid w:val="005B71A8"/>
    <w:rsid w:val="005D7D3F"/>
    <w:rsid w:val="005E0E8B"/>
    <w:rsid w:val="005E15DE"/>
    <w:rsid w:val="006020F8"/>
    <w:rsid w:val="0061766E"/>
    <w:rsid w:val="00623E97"/>
    <w:rsid w:val="00634842"/>
    <w:rsid w:val="00652026"/>
    <w:rsid w:val="006C63B6"/>
    <w:rsid w:val="006C6C54"/>
    <w:rsid w:val="00701718"/>
    <w:rsid w:val="00704310"/>
    <w:rsid w:val="007274C5"/>
    <w:rsid w:val="007759C4"/>
    <w:rsid w:val="0079003E"/>
    <w:rsid w:val="007C762F"/>
    <w:rsid w:val="007C7705"/>
    <w:rsid w:val="007E1E66"/>
    <w:rsid w:val="007E797B"/>
    <w:rsid w:val="007F690B"/>
    <w:rsid w:val="007F7DAA"/>
    <w:rsid w:val="00803E54"/>
    <w:rsid w:val="00827396"/>
    <w:rsid w:val="0086563C"/>
    <w:rsid w:val="00882332"/>
    <w:rsid w:val="00894913"/>
    <w:rsid w:val="00895275"/>
    <w:rsid w:val="008B200A"/>
    <w:rsid w:val="008D45F3"/>
    <w:rsid w:val="008F10F1"/>
    <w:rsid w:val="008F7B70"/>
    <w:rsid w:val="00941177"/>
    <w:rsid w:val="00980E98"/>
    <w:rsid w:val="00A03BF6"/>
    <w:rsid w:val="00A31617"/>
    <w:rsid w:val="00A640E6"/>
    <w:rsid w:val="00A74CA8"/>
    <w:rsid w:val="00A84EE5"/>
    <w:rsid w:val="00AA5308"/>
    <w:rsid w:val="00AC4281"/>
    <w:rsid w:val="00B7131A"/>
    <w:rsid w:val="00B74687"/>
    <w:rsid w:val="00B756CA"/>
    <w:rsid w:val="00B94CAA"/>
    <w:rsid w:val="00BA20E5"/>
    <w:rsid w:val="00BA39B6"/>
    <w:rsid w:val="00BC2FE8"/>
    <w:rsid w:val="00BD3A85"/>
    <w:rsid w:val="00BE5387"/>
    <w:rsid w:val="00BF1D1B"/>
    <w:rsid w:val="00C05EB7"/>
    <w:rsid w:val="00C25376"/>
    <w:rsid w:val="00C81FCD"/>
    <w:rsid w:val="00CA1EFB"/>
    <w:rsid w:val="00CD2DAB"/>
    <w:rsid w:val="00CE4736"/>
    <w:rsid w:val="00D10707"/>
    <w:rsid w:val="00D162AE"/>
    <w:rsid w:val="00D577D9"/>
    <w:rsid w:val="00D84695"/>
    <w:rsid w:val="00D87B55"/>
    <w:rsid w:val="00DB19EA"/>
    <w:rsid w:val="00DB2377"/>
    <w:rsid w:val="00E049A5"/>
    <w:rsid w:val="00E4717C"/>
    <w:rsid w:val="00E7762D"/>
    <w:rsid w:val="00E81BDE"/>
    <w:rsid w:val="00EB7332"/>
    <w:rsid w:val="00F057AA"/>
    <w:rsid w:val="00F56975"/>
    <w:rsid w:val="00F72743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A20E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6C6C5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C6C5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0E5"/>
    <w:rPr>
      <w:rFonts w:ascii="Arial" w:hAnsi="Arial" w:cs="Arial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6C5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6C54"/>
    <w:rPr>
      <w:rFonts w:ascii="Cambria" w:hAnsi="Cambria" w:cs="Cambria"/>
      <w:b/>
      <w:bCs/>
      <w:color w:val="4F81BD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BA2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A20E5"/>
    <w:pPr>
      <w:autoSpaceDE/>
      <w:autoSpaceDN/>
      <w:adjustRightInd/>
      <w:spacing w:after="120" w:line="480" w:lineRule="auto"/>
      <w:ind w:firstLine="40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A20E5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rsid w:val="00BA20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A20E5"/>
    <w:rPr>
      <w:rFonts w:ascii="Arial" w:hAnsi="Arial" w:cs="Arial"/>
      <w:sz w:val="18"/>
      <w:szCs w:val="18"/>
      <w:lang w:eastAsia="ru-RU"/>
    </w:rPr>
  </w:style>
  <w:style w:type="character" w:styleId="a5">
    <w:name w:val="page number"/>
    <w:basedOn w:val="a0"/>
    <w:uiPriority w:val="99"/>
    <w:rsid w:val="00BA20E5"/>
    <w:rPr>
      <w:rFonts w:cs="Times New Roman"/>
    </w:rPr>
  </w:style>
  <w:style w:type="paragraph" w:customStyle="1" w:styleId="ConsNormal">
    <w:name w:val="ConsNormal"/>
    <w:uiPriority w:val="99"/>
    <w:rsid w:val="00BA20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iPriority w:val="99"/>
    <w:rsid w:val="00BA20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BA20E5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BA20E5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9">
    <w:name w:val="No Spacing"/>
    <w:uiPriority w:val="1"/>
    <w:qFormat/>
    <w:rsid w:val="00BA20E5"/>
    <w:rPr>
      <w:rFonts w:eastAsia="Times New Roman" w:cs="Calibri"/>
    </w:rPr>
  </w:style>
  <w:style w:type="paragraph" w:customStyle="1" w:styleId="aa">
    <w:name w:val="Базовый"/>
    <w:uiPriority w:val="99"/>
    <w:rsid w:val="00BA20E5"/>
    <w:pPr>
      <w:suppressAutoHyphens/>
      <w:spacing w:after="200" w:line="276" w:lineRule="auto"/>
    </w:pPr>
    <w:rPr>
      <w:rFonts w:eastAsia="Times New Roman" w:cs="Calibri"/>
      <w:color w:val="00000A"/>
      <w:lang w:eastAsia="en-US"/>
    </w:rPr>
  </w:style>
  <w:style w:type="paragraph" w:styleId="ab">
    <w:name w:val="Title"/>
    <w:basedOn w:val="a"/>
    <w:link w:val="ac"/>
    <w:uiPriority w:val="99"/>
    <w:qFormat/>
    <w:rsid w:val="00BA20E5"/>
    <w:pPr>
      <w:widowControl/>
      <w:autoSpaceDE/>
      <w:autoSpaceDN/>
      <w:adjustRightInd/>
      <w:spacing w:before="120" w:line="360" w:lineRule="auto"/>
      <w:ind w:right="4670" w:firstLine="0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BA20E5"/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BA20E5"/>
    <w:pPr>
      <w:tabs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autoSpaceDE/>
      <w:autoSpaceDN/>
      <w:adjustRightInd/>
      <w:snapToGrid w:val="0"/>
      <w:ind w:firstLine="0"/>
      <w:jc w:val="center"/>
    </w:pPr>
    <w:rPr>
      <w:rFonts w:eastAsia="Calibri"/>
      <w:b/>
      <w:bCs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6C6C5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6C6C54"/>
    <w:rPr>
      <w:rFonts w:ascii="Arial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6C54"/>
    <w:rPr>
      <w:rFonts w:ascii="Arial" w:hAnsi="Arial" w:cs="Arial"/>
      <w:sz w:val="22"/>
      <w:szCs w:val="22"/>
      <w:lang w:eastAsia="ru-RU"/>
    </w:rPr>
  </w:style>
  <w:style w:type="character" w:customStyle="1" w:styleId="ConsPlusTitle">
    <w:name w:val="ConsPlusTitle Знак"/>
    <w:link w:val="ConsPlusTitle0"/>
    <w:uiPriority w:val="99"/>
    <w:locked/>
    <w:rsid w:val="006C6C54"/>
    <w:rPr>
      <w:rFonts w:cs="Times New Roman"/>
      <w:b/>
      <w:bCs/>
      <w:sz w:val="22"/>
      <w:szCs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6C6C54"/>
    <w:pPr>
      <w:widowControl w:val="0"/>
      <w:autoSpaceDE w:val="0"/>
      <w:autoSpaceDN w:val="0"/>
    </w:pPr>
    <w:rPr>
      <w:rFonts w:cs="Calibri"/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rsid w:val="006C6C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C6C54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Гипертекстовая ссылка"/>
    <w:basedOn w:val="a0"/>
    <w:uiPriority w:val="99"/>
    <w:rsid w:val="006C63B6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30620;fld=134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FINANSIST</cp:lastModifiedBy>
  <cp:revision>2</cp:revision>
  <cp:lastPrinted>2020-04-01T08:18:00Z</cp:lastPrinted>
  <dcterms:created xsi:type="dcterms:W3CDTF">2021-06-17T09:17:00Z</dcterms:created>
  <dcterms:modified xsi:type="dcterms:W3CDTF">2021-06-17T09:17:00Z</dcterms:modified>
</cp:coreProperties>
</file>