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color w:val="333333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Интервью руководителя Управления Росреестра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 Ивановской области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b w:val="0"/>
          <w:bCs w:val="0"/>
          <w:sz w:val="26"/>
          <w:szCs w:val="26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252525"/>
          <w:spacing w:val="3"/>
          <w:sz w:val="24"/>
          <w:szCs w:val="24"/>
          <w:highlight w:val="white"/>
        </w:rPr>
        <w:t xml:space="preserve">С 1 марта 2025 года вступил в силу федеральный закон, который внес серьезные изменения в процедуру оформления недвижимости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6"/>
          <w:szCs w:val="26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6"/>
          <w:szCs w:val="26"/>
          <w:highlight w:val="none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Сегодня с руководителем Управления Росреестра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Ивановской области Натальей Ведерниковой мы поговорим об итогах 2024 года и 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том, какие изменения произошли в законодательстве в сфере земли и недвижимости.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46"/>
        <w:numPr>
          <w:ilvl w:val="0"/>
          <w:numId w:val="6"/>
        </w:numPr>
        <w:ind w:left="0" w:right="0" w:firstLine="567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b/>
          <w:bCs/>
          <w:color w:val="333333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</w:rPr>
        <w:t xml:space="preserve">Основной функцией Росреестра является осуществление государственного кадастрового учета и государственной регистрации прав на недвижимость. Расскажите, какие результаты достигнуты в сфере регистрации недвижимости за 2024 год.</w:t>
      </w:r>
      <w:r>
        <w:rPr>
          <w:rFonts w:ascii="Liberation Serif" w:hAnsi="Liberation Serif" w:cs="Liberation Serif"/>
          <w:b/>
          <w:bCs/>
          <w:color w:val="333333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333333"/>
          <w:sz w:val="28"/>
          <w:szCs w:val="28"/>
          <w:highlight w:val="none"/>
        </w:rPr>
      </w:r>
    </w:p>
    <w:p>
      <w:pPr>
        <w:pStyle w:val="846"/>
        <w:ind w:firstLine="709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i w:val="0"/>
          <w:iCs w:val="0"/>
          <w:color w:val="292c2f"/>
          <w:sz w:val="24"/>
          <w:szCs w:val="24"/>
        </w:rPr>
        <w:t xml:space="preserve">Управление Росреестра по Ивановской области подвело итоги деятельности по показателям учётно-регистрационных действий за 2024 год. В целом</w:t>
      </w:r>
      <w:r>
        <w:rPr>
          <w:rFonts w:ascii="Liberation Serif" w:hAnsi="Liberation Serif" w:eastAsia="Liberation Serif" w:cs="Liberation Serif"/>
          <w:i/>
          <w:iCs/>
          <w:color w:val="292c2f"/>
          <w:sz w:val="24"/>
          <w:szCs w:val="24"/>
        </w:rPr>
        <w:t xml:space="preserve"> 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бщее количество учетно - регистрационных действий 2024 г. выросло на 4%, по сравнению с 2023 годом.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в 2024 г снизилось общее количество заявлений о государственной регистрации прав на 15% и существенно увеличилось количество заявлений о государственном кадастровом учете на 69%. Количество заявлений о единой процедуре также увеличилось на 4%.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 – Наталья Викторовна, а в чем причина такого изменения в структуре?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Причина в том, что 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равообладатели недвижимости - граждане и юридические лица стали осознавать важность определения местоположения границ объектов недвижимости на местности.  Поскольку это дает определенные гарантии собственникам объектов и исключает возможные судебные споры.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достижение установления  точных границ  направлены и изменения в Закон о регистрации, вступившие в силу с 1 марта 2025 г.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numPr>
          <w:ilvl w:val="0"/>
          <w:numId w:val="7"/>
        </w:numPr>
        <w:jc w:val="both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В чём заключаются изменения?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Законом №487-ФЗ введены новые основания для приостановления учетно-регистрационных действий как в отношении земельных участков, так и в отношении зданий или сооружений, расположенных на них.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частности, с 1 марта 2025 года регистрационные действия в отношении земельного участка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смогут быть выполнены, если в Едином государственном реестре недвижимости (ЕГРН) отсутствуют сведения о местоположении его границ. То есть, нельзя  продать, подарить или совершить иную сделку об отчуждении с земельным участком, если он неотмежеван.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Также нельзя  поставить на кадастровы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учёт или оформить права на здание, сооружение или объект незавершенного строительства, расположенные на неотмежеванном земельном участке.</w:t>
        <w:br/>
        <w:t xml:space="preserve">Применение новых положений не зависит ни от категории земельного участка, ни от вида его разрешённого использования.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Нельзя поставить на учет и ранее учтенные земельные участки или  объекты капитального строительства без подготовки межевого или технического плана.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numPr>
          <w:ilvl w:val="0"/>
          <w:numId w:val="8"/>
        </w:numPr>
        <w:jc w:val="both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Почему так важно установить границы земельного участка?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0"/>
        <w:ind w:firstLine="567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границ земельного участка или межевание позволяет определить, где на самом деле проходят границы участка, какова его площадь и форма.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Без этой процедуры невозмож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 однозначно определить, где этот земельный участок в действительности находится и какова его площадь.  Поэтому законодатель, водя такой запрет в первую очередь защищает права приобретателя земельного участка, ведь то, что написано в правоустанавливающих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документах продавца, может существенно отличаться от действительности.  Например, продавец показывает участок и говорит, что у него фактически 8 соток по документам, хотя фактически площадь участка составляет 6 соток. А цена в договоре указана за 8 соток.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Кроме того, неверная площадь участка может стать причиной неверного определения его кадастровой стоимости и, как следствие, неверного определения размера земельного налога.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Также имеют место случаи, когда продавец показывает покупателю чужой земельный участок или объя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сняет, что в земельный участок входит территория, которая не является его частью. В результате человек приобретает совершенно иной объект и пытается добиться справедливости в суде либо сталкивается со сложностями при установлении границ купленного участка.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Практика показывает, что именно отсутствие точно определенных границ является причиной большинства конфликтов между владельцами смежных земельных участков. К примеру, бывает, что собственник соседнего участка предъявля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ет претензии о захвате земли новым покупателем или наоборот. В этом случае начинаются долгие споры с соседями, и нередко приходиться обращаться в суд. А судебные разбирательства по вопросам установления границ участков - одни из самых сложных и длительных.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Особенно важно определить границы участка при намерении построить на участке здание, например, жилой дом. </w:t>
        <w:br/>
        <w:t xml:space="preserve">На практике встречаются случаи, когда строительство капитальных объектов осуществляется без понимания реального ме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тоположения границ участка. Это приводит к тому, что построенный объект оказывается расположен на чужом земельном участке или на участке, не предоставленном или не предназначенном для строительства, и оформить права на такой объект становится очень сложно.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Без точных границ застройщик не может соблюдать обязательные нормативы – например, отступ от границ участка.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Нередким случаем оказывается нахождение на земельном участке охранных зон, которые будут видны только после установления границ. На участке могут оказаться охранные зоны линейных объект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ов, и его использование, например, для строительства, будет  вообще невозможно. Например, в том месте, где вы планировали при покупке строительство жилого дома будет располагаться охранная зона газопровода и строительство в этом месте будет уже невозможно.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 же самые трудности могут возникнуть при подведении коммуникаций (газ, вода, электричество, канализация и т. д.).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Ну и наконец  при отсутствии у земельного участ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 установленных границ и признаков хозяйственной деятельности органы государственной власти или муниципалитеты могут ошибочно принять его за свободную землю и незаконно ей распорядиться. Это создаёт прямую угрозу для защиты прав граждан и юридических лиц.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Таким образом, закон обеспечивает гарантии прав новых правообладателей земельных участков, защищает их от возможных проблем с определением местоположения границ и от несанкционированного занятия участков.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spacing w:line="240" w:lineRule="auto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292c2f"/>
          <w:sz w:val="24"/>
          <w:szCs w:val="24"/>
        </w:rPr>
        <w:br/>
        <w:tab/>
        <w:t xml:space="preserve">-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Как проверить, внесены ли в ЕГРН границы земельного участка?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Проверить наличие или отсутствие в ЕГРН сведений о границах земельного участка достаточно просто. Для этого можно открыть </w:t>
      </w:r>
      <w:hyperlink r:id="rId9" w:tooltip="https://nspd.gov.ru/map" w:history="1">
        <w:r>
          <w:rPr>
            <w:rFonts w:ascii="Liberation Serif" w:hAnsi="Liberation Serif" w:eastAsia="Liberation Serif" w:cs="Liberation Serif"/>
            <w:sz w:val="24"/>
            <w:szCs w:val="24"/>
          </w:rPr>
          <w:t xml:space="preserve">публичную кадастровую карту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 Росреестра на портале НСПД, которая доступна всем желающим бесплатно, и по кадастровому номеру или адресу найти интересующий участок. При этом, если участок неотмежеван, то он не отобразиться на карте, а в описании будет указано, что участок без границ.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Кроме того, сведения о местоположении границ участка указываются в выписке из ЕГРН, которую можно получить как в электронном, так и в бумажном виде. Это можно сделать с использованием Единого портала госуслуг или в МФЦ.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numPr>
          <w:ilvl w:val="0"/>
          <w:numId w:val="9"/>
        </w:numPr>
        <w:jc w:val="both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Что нужно сделать, чтобы отмежевать земельный участок?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Межеванием занимаются кадастровые инженеры. Специалист выезжает на место и проводит необходимые замеры и расчеты. Если есть забор, то замеры проводят по нему. Если забора нет, лучше зара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нее обозначить углы участка колышками. При этом он не сможет установить границы земельного участка так, как хочется собственнику. Для проведения работ потребуются документальные свидетельства, что участок выделен именно в этом месте и именно такой площади.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Далее - процесс согласования границ с владельцами смежных участков.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срок, оговоренный договором подряда, кадастровый инженер готовит межевой план, содержащий сведения о характерных точках границы земельного участка.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- 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lang w:eastAsia="ru-RU"/>
        </w:rPr>
        <w:t xml:space="preserve">А что потом делать с подготовленным кадастровым инженером межевым планом?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Правообладателю земельного участка нужно будет обратиться с заявлением об учете изменений  для внесения сведений в ЕГРН, приложив межевой план.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Но если предусмотреть в договоре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подряда  возможность обратиться за осуществлением учетно-регистрационных действий кадастровому инженеру, то кадастровый инженер самостоятельно без доверенности обратиться с таким заявлением и после оказания услуги передаст правообладателю выписку из ЕГРН.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Как раз с 1 марта 2025 Законом №487-ФЗ расширились полномочия кадастровых инженеров за осуществлением учетно-регистрационных действий. Теперь они могут обращаться за осуществлением всех учетно-регист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рационных действий, за исключением только тех, обязанность по подаче которых возложена на органы государственной власти и органы местного самоуправления, при условии, что данные полномочия предусмотрены договором подряда на осуществление кадастровых работ.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6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b/>
          <w:color w:val="333333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-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</w:rPr>
        <w:t xml:space="preserve">а, это удобно для граждан, обратиться к кадастровому инженеру и больше не посещать никакие учреждения, а сразу получить выписку из ЕГРН.  А построенное здание, например, жилой дом, обязательно ли сразу регистрировать?</w:t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  <w:r>
        <w:rPr>
          <w:rFonts w:ascii="Liberation Serif" w:hAnsi="Liberation Serif" w:cs="Liberation Serif"/>
          <w:b/>
          <w:color w:val="333333"/>
          <w:sz w:val="28"/>
          <w:szCs w:val="28"/>
        </w:rPr>
      </w:r>
    </w:p>
    <w:p>
      <w:pPr>
        <w:pStyle w:val="846"/>
        <w:ind w:firstLine="709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Необходимо понимать, что если человек не зарегистрировал право на объект, он не является его собственником. Это определенная угроза защиты и</w:t>
      </w: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мущественных прав, которая становится очевидной при наступлении ЧС, изъятии земельного участка для государственных нужд или в ходе земельного или имущественного спора. В таких ситуациях доказать наличие права на недвижимость становится серьезной проблемой.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6"/>
        <w:ind w:firstLine="709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Законом введен принцип «построил – оформи», в соответстви</w:t>
      </w: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и с которым эксплуатировать построенные здания и сооружения можно только после их оформления. Граждане смогут это сделать в том числе с использованием упрощенного порядка оформления прав на бытовую недвижимость (например, в рамках «дачной амнистии»).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6"/>
        <w:ind w:firstLine="709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Кроме того, доступны электронные сервисы, помогающие подготовить и направить документы, необходимые для получения соответствующих услуг Росреестра».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6"/>
        <w:ind w:firstLine="709"/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Также законом определяется, что эксплуатация зданий и сооружений должна осуществляться с соблюдением целевого назначения и разрешенного использования земельных участков, на которых они расположены</w:t>
      </w:r>
      <w:r>
        <w:rPr>
          <w:rFonts w:ascii="Liberation Serif" w:hAnsi="Liberation Serif" w:eastAsia="Liberation Serif" w:cs="Liberation Serif" w:eastAsiaTheme="minorHAnsi"/>
          <w:sz w:val="24"/>
          <w:szCs w:val="24"/>
          <w:lang w:eastAsia="en-US"/>
        </w:rPr>
        <w:t xml:space="preserve">. Необходимо исключить случаи, когда на земельных участках, предназначенных, например, для индивидуального жилищного строительства, открываются автомойки и гостиницы. Это противоречит правовому режиму земли и доставляет дополнительные неудобства соседям.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numPr>
          <w:ilvl w:val="0"/>
          <w:numId w:val="10"/>
        </w:numPr>
        <w:jc w:val="both"/>
        <w:spacing w:before="0" w:beforeAutospacing="0" w:after="280"/>
        <w:shd w:val="clear" w:color="auto" w:fill="ffffff"/>
        <w:rPr>
          <w:rFonts w:ascii="Liberation Serif" w:hAnsi="Liberation Serif" w:cs="Liberation Serif"/>
          <w:b/>
          <w:bCs/>
          <w:color w:val="333333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</w:rPr>
        <w:t xml:space="preserve">А какие еще изменения вступили в силу?</w:t>
      </w:r>
      <w:r>
        <w:rPr>
          <w:rFonts w:ascii="Liberation Serif" w:hAnsi="Liberation Serif" w:cs="Liberation Serif"/>
          <w:b/>
          <w:bCs/>
          <w:color w:val="333333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333333"/>
          <w:sz w:val="24"/>
          <w:szCs w:val="24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Существенным является переход Росреестра на электронное взаимодействие с юридическими лиц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ами. С 1 марта 2025 года  юридические лица должны подавать заявления на государственный кадастровый учёт и государственную регистрацию прав с прилагаемыми к ним документами только в электронной форме. Бумажные документы будут возвращаться без рассмотрения.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Возможность подачи в регистрирующий орган заявления на бума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жном носителе сохранится до 1 января 2026 г. за рядом юридических лиц: крестьянскими (фермерскими) хозяйствами, садоводческими и огородническими товариществами, гаражными, жилищными и жилищно-строительными кооперативами, товариществами собственников жилья.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Исключением являются и случаи, когда стороной сделки является физическое лицо (кроме договоров участия в долевом строительстве).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Договоры участия в долевом строи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тельстве предоставляются на государственную регистрацию только в форме электронных документов. При этом подписанный сторонами договор и впоследствии отсканированный, не является электронным документом. Электронный документ должен быть подписан УКЭП сторон.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Закон также обязал застройщиков после подписания передаточного акта самостоятельно направлять в Росреестр заявления и документы для государственной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регистрации права собственности участника долевого строительства исключительно в электронной форме.</w:t>
        <w:br/>
        <w:t xml:space="preserve">После завершения процедуры регистрации застройщик должен передать участнику долевого строительства выписку из Единого государственного реестра недвижимости.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Таким образом, электронный формат взаимодействия застройщиков с регистрирующим органом обязателен.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Хочется отметить, что уже сейчас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аявители стали более активно использовать электронный способ подачи заявлений. В 2024 г. общее количество таких заявлений выросло на 17% в сравнении с 2023 годом.  Доля электронных обращений органов власти и органов местного самоуправления составляет 100%.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Такой способ является очень удобным, не нужно посещать МФЦ, заявление можно отправить из дома, используя сервисы «Личный кабинет» на официальном сайте Росреестра или единый портал Госуслуг.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  <w:style w:type="paragraph" w:styleId="846" w:customStyle="1">
    <w:name w:val="Normal (Web)"/>
    <w:basedOn w:val="840"/>
    <w:uiPriority w:val="99"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6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nspd.gov.ru/ma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dunskaya-ee</cp:lastModifiedBy>
  <cp:revision>2</cp:revision>
  <dcterms:modified xsi:type="dcterms:W3CDTF">2025-03-10T12:29:14Z</dcterms:modified>
</cp:coreProperties>
</file>