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jc w:val="center"/>
        <w:rPr>
          <w:rFonts w:ascii="Arial" w:hAnsi="Arial" w:eastAsia="Times New Roman" w:cs="Arial"/>
          <w:b/>
          <w:iCs/>
          <w:color w:val="000000"/>
          <w:sz w:val="28"/>
          <w:szCs w:val="28"/>
          <w:lang w:eastAsia="ru-RU"/>
        </w:rPr>
      </w:pPr>
      <w:r>
        <w:rPr>
          <w:rFonts w:ascii="Arial" w:hAnsi="Arial" w:eastAsia="Times New Roman" w:cs="Arial"/>
          <w:b/>
          <w:iCs/>
          <w:color w:val="000000"/>
          <w:sz w:val="28"/>
          <w:szCs w:val="28"/>
          <w:lang w:eastAsia="ru-RU"/>
        </w:rPr>
        <w:t xml:space="preserve"> Можно ли строить рядом с пунктом государственной геодезической сети</w:t>
      </w:r>
      <w:r>
        <w:rPr>
          <w:rFonts w:ascii="Arial" w:hAnsi="Arial" w:eastAsia="Times New Roman" w:cs="Arial"/>
          <w:b/>
          <w:iCs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b/>
          <w:iCs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Пункт государственной геодезической сети (далее – ГГС) представляет собой конструкцию, закрепленную специальными инженерными устройствами и сооружениями.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Подземная часть </w:t>
      </w:r>
      <w:r>
        <w:rPr>
          <w:rFonts w:ascii="Times New Roman" w:hAnsi="Times New Roman" w:cs="Times New Roman"/>
          <w:sz w:val="28"/>
          <w:szCs w:val="28"/>
        </w:rPr>
        <w:t xml:space="preserve">обычно заложены в земле на глубине от 0,5 до 1,5 м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. В верхней части центров привариваются специальные чугунные марки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 Наружные знаки представляют собой металлические, деревянные или бетонные (каменные) сооружения – пирамиды, сигналы, которые возвышаются над землей на высоту от 5 до 35 метров.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Вокруг каждого геодезического пункта в радиусе 4 метров устанавливается охранная зона, сведения о которой вносятся в Единый государственный реестр недвижимости.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«В пределах таких зон без письменного согласования с Управлением Росреестра по Ивановской области запрещается вести деятельность и проводить работы, которые могут повлечь повреждение или уничтожение наружных знаков пунктов,» – сообщила заместитель руководителя Управления Росреестра по Ивановской области Ольга Зайцева.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r>
    </w:p>
    <w:p>
      <w:pPr>
        <w:pStyle w:val="830"/>
        <w:jc w:val="both"/>
        <w:spacing w:before="0"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Ограничения использования земельных участков, на которых расположены геодезические пункты, вне границ охранных зон не устанавливаются.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Style w:val="830"/>
        <w:jc w:val="both"/>
        <w:spacing w:before="0" w:after="0" w:line="240" w:lineRule="auto"/>
        <w:rPr>
          <w:b/>
          <w:bCs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Пункты ГГС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являются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федеральной собственностью!</w:t>
      </w:r>
      <w:r>
        <w:rPr>
          <w:b/>
          <w:bCs/>
        </w:rPr>
      </w:r>
      <w:r>
        <w:rPr>
          <w:b/>
          <w:bCs/>
        </w:rPr>
      </w:r>
    </w:p>
    <w:p>
      <w:pPr>
        <w:pStyle w:val="830"/>
        <w:ind w:left="360" w:firstLine="0"/>
        <w:spacing w:beforeAutospacing="1" w:afterAutospacing="1" w:line="240" w:lineRule="auto"/>
        <w:shd w:val="clear" w:color="auto" w:fill="ffffff"/>
        <w:rPr>
          <w:rFonts w:ascii="Arial" w:hAnsi="Arial" w:eastAsia="Times New Roman" w:cs="Arial"/>
          <w:color w:val="666666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666666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666666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666666"/>
          <w:sz w:val="21"/>
          <w:szCs w:val="21"/>
          <w:lang w:eastAsia="ru-RU"/>
        </w:rPr>
      </w:r>
    </w:p>
    <w:p>
      <w:pPr>
        <w:pStyle w:val="830"/>
        <w:jc w:val="left"/>
        <w:spacing w:before="0" w:after="160" w:line="259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character" w:styleId="685">
    <w:name w:val="Caption Char"/>
    <w:basedOn w:val="835"/>
    <w:link w:val="683"/>
    <w:uiPriority w:val="99"/>
  </w:style>
  <w:style w:type="table" w:styleId="686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paragraph" w:styleId="832">
    <w:name w:val="Заголовок"/>
    <w:basedOn w:val="830"/>
    <w:next w:val="83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3">
    <w:name w:val="Body Text"/>
    <w:basedOn w:val="830"/>
    <w:pPr>
      <w:spacing w:before="0" w:after="140" w:line="276" w:lineRule="auto"/>
    </w:pPr>
  </w:style>
  <w:style w:type="paragraph" w:styleId="834">
    <w:name w:val="List"/>
    <w:basedOn w:val="833"/>
    <w:rPr>
      <w:rFonts w:ascii="PT Astra Serif" w:hAnsi="PT Astra Serif" w:cs="Noto Sans Devanagari"/>
    </w:rPr>
  </w:style>
  <w:style w:type="paragraph" w:styleId="835">
    <w:name w:val="Caption"/>
    <w:basedOn w:val="83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6">
    <w:name w:val="Указатель"/>
    <w:basedOn w:val="830"/>
    <w:qFormat/>
    <w:pPr>
      <w:suppressLineNumbers/>
    </w:pPr>
    <w:rPr>
      <w:rFonts w:ascii="PT Astra Serif" w:hAnsi="PT Astra Serif" w:cs="Noto Sans Devanagari"/>
    </w:rPr>
  </w:style>
  <w:style w:type="paragraph" w:styleId="837">
    <w:name w:val="List Paragraph"/>
    <w:basedOn w:val="830"/>
    <w:uiPriority w:val="34"/>
    <w:qFormat/>
    <w:pPr>
      <w:contextualSpacing/>
      <w:ind w:left="720" w:firstLine="0"/>
      <w:spacing w:before="0" w:after="160"/>
    </w:p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Заботлина Валентина Григорьевна</dc:creator>
  <dc:description/>
  <dc:language>ru-RU</dc:language>
  <cp:revision>15</cp:revision>
  <dcterms:created xsi:type="dcterms:W3CDTF">2024-11-05T05:53:00Z</dcterms:created>
  <dcterms:modified xsi:type="dcterms:W3CDTF">2024-11-20T08:27:50Z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