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91" w:rsidRPr="00084413" w:rsidRDefault="00BC1128" w:rsidP="004443F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413">
        <w:rPr>
          <w:rFonts w:ascii="Times New Roman" w:eastAsia="PT Serif" w:hAnsi="Times New Roman" w:cs="Times New Roman"/>
          <w:b/>
          <w:color w:val="222222"/>
          <w:sz w:val="28"/>
          <w:szCs w:val="28"/>
        </w:rPr>
        <w:t>Что такое комплексные кадастровые работы?</w:t>
      </w:r>
    </w:p>
    <w:p w:rsidR="00A1070A" w:rsidRDefault="00A1070A" w:rsidP="004443F0">
      <w:pPr>
        <w:spacing w:after="0" w:line="240" w:lineRule="auto"/>
        <w:ind w:firstLine="708"/>
        <w:contextualSpacing/>
        <w:jc w:val="both"/>
        <w:rPr>
          <w:rFonts w:ascii="Times New Roman" w:eastAsia="PT Serif" w:hAnsi="Times New Roman" w:cs="Times New Roman"/>
          <w:color w:val="222222"/>
          <w:sz w:val="28"/>
          <w:szCs w:val="28"/>
          <w:highlight w:val="white"/>
        </w:rPr>
      </w:pPr>
    </w:p>
    <w:p w:rsidR="00C83B91" w:rsidRPr="00084413" w:rsidRDefault="00BC1128" w:rsidP="004443F0">
      <w:pPr>
        <w:spacing w:after="0" w:line="240" w:lineRule="auto"/>
        <w:ind w:firstLine="708"/>
        <w:contextualSpacing/>
        <w:jc w:val="both"/>
        <w:rPr>
          <w:rFonts w:ascii="Times New Roman" w:eastAsia="PT Serif" w:hAnsi="Times New Roman" w:cs="Times New Roman"/>
          <w:color w:val="222222"/>
          <w:sz w:val="28"/>
          <w:szCs w:val="28"/>
        </w:rPr>
      </w:pPr>
      <w:r w:rsidRPr="00084413">
        <w:rPr>
          <w:rFonts w:ascii="Times New Roman" w:eastAsia="PT Serif" w:hAnsi="Times New Roman" w:cs="Times New Roman"/>
          <w:color w:val="222222"/>
          <w:sz w:val="28"/>
          <w:szCs w:val="28"/>
          <w:highlight w:val="white"/>
        </w:rPr>
        <w:t>В последнее время достаточно часто можно услышать термин - «комплексные кадастровые работы», между тем не многие имеют представление о том, что представляют из себя данные работы.</w:t>
      </w:r>
    </w:p>
    <w:p w:rsidR="00C83B91" w:rsidRPr="00084413" w:rsidRDefault="00BC1128" w:rsidP="004443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84413">
        <w:rPr>
          <w:rFonts w:ascii="Times New Roman" w:eastAsia="PT Serif" w:hAnsi="Times New Roman" w:cs="Times New Roman"/>
          <w:color w:val="333333"/>
          <w:sz w:val="28"/>
          <w:szCs w:val="28"/>
          <w:highlight w:val="white"/>
        </w:rPr>
        <w:t xml:space="preserve">Проведение комплексных кадастровых работ регламентируется </w:t>
      </w:r>
      <w:r w:rsidR="004316B4">
        <w:rPr>
          <w:rFonts w:ascii="Times New Roman" w:eastAsia="PT Serif" w:hAnsi="Times New Roman" w:cs="Times New Roman"/>
          <w:color w:val="333333"/>
          <w:sz w:val="28"/>
          <w:szCs w:val="28"/>
          <w:highlight w:val="white"/>
        </w:rPr>
        <w:br/>
      </w:r>
      <w:r w:rsidRPr="00084413">
        <w:rPr>
          <w:rFonts w:ascii="Times New Roman" w:eastAsia="PT Serif" w:hAnsi="Times New Roman" w:cs="Times New Roman"/>
          <w:color w:val="333333"/>
          <w:sz w:val="28"/>
          <w:szCs w:val="28"/>
          <w:highlight w:val="white"/>
        </w:rPr>
        <w:t>главой 4.1. Федерального закона от 24</w:t>
      </w:r>
      <w:r w:rsidR="004316B4">
        <w:rPr>
          <w:rFonts w:ascii="Times New Roman" w:eastAsia="PT Serif" w:hAnsi="Times New Roman" w:cs="Times New Roman"/>
          <w:color w:val="333333"/>
          <w:sz w:val="28"/>
          <w:szCs w:val="28"/>
          <w:highlight w:val="white"/>
        </w:rPr>
        <w:t>.07.2007</w:t>
      </w:r>
      <w:r w:rsidRPr="00084413">
        <w:rPr>
          <w:rFonts w:ascii="Times New Roman" w:eastAsia="PT Serif" w:hAnsi="Times New Roman" w:cs="Times New Roman"/>
          <w:color w:val="333333"/>
          <w:sz w:val="28"/>
          <w:szCs w:val="28"/>
          <w:highlight w:val="white"/>
        </w:rPr>
        <w:t xml:space="preserve"> № 221-ФЗ </w:t>
      </w:r>
      <w:r w:rsidR="00F83410">
        <w:rPr>
          <w:rFonts w:ascii="Times New Roman" w:eastAsia="PT Serif" w:hAnsi="Times New Roman" w:cs="Times New Roman"/>
          <w:color w:val="333333"/>
          <w:sz w:val="28"/>
          <w:szCs w:val="28"/>
        </w:rPr>
        <w:t>«</w:t>
      </w:r>
      <w:r w:rsidRPr="00084413">
        <w:rPr>
          <w:rFonts w:ascii="Times New Roman" w:eastAsia="PT Serif" w:hAnsi="Times New Roman" w:cs="Times New Roman"/>
          <w:sz w:val="28"/>
          <w:szCs w:val="28"/>
        </w:rPr>
        <w:t>О кадастровой деятельности».</w:t>
      </w:r>
    </w:p>
    <w:p w:rsidR="00C83B91" w:rsidRPr="00084413" w:rsidRDefault="00BC1128" w:rsidP="004443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413">
        <w:rPr>
          <w:rFonts w:ascii="Times New Roman" w:eastAsia="PT Serif" w:hAnsi="Times New Roman" w:cs="Times New Roman"/>
          <w:color w:val="111111"/>
          <w:sz w:val="28"/>
          <w:szCs w:val="28"/>
          <w:highlight w:val="white"/>
        </w:rPr>
        <w:t>Комплексные кадастровые работы (ККР) – это 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земельных участков, зданий, сооружений (за исключением линейных объектов), а также объектов незавершенного строительства. </w:t>
      </w:r>
    </w:p>
    <w:p w:rsidR="00C83B91" w:rsidRPr="00084413" w:rsidRDefault="00BC1128" w:rsidP="004443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413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Особенность </w:t>
      </w:r>
      <w:r w:rsidR="004316B4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ККР</w:t>
      </w:r>
      <w:r w:rsidRPr="00084413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 — это проведение кадастровых работ не точечно, по одному земельному участку, а комплексно в отношении всех земельных участков в кадастровом квартале.</w:t>
      </w:r>
    </w:p>
    <w:p w:rsidR="004316B4" w:rsidRDefault="00BC1128" w:rsidP="004316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8"/>
        <w:contextualSpacing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 w:rsidRPr="00084413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В результате выполнения </w:t>
      </w:r>
      <w:r w:rsidR="004316B4">
        <w:rPr>
          <w:rFonts w:ascii="Times New Roman" w:eastAsia="PT Serif" w:hAnsi="Times New Roman" w:cs="Times New Roman"/>
          <w:color w:val="000000"/>
          <w:sz w:val="28"/>
          <w:szCs w:val="28"/>
        </w:rPr>
        <w:t>ККР</w:t>
      </w:r>
      <w:r w:rsidRPr="00084413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происходит:</w:t>
      </w:r>
    </w:p>
    <w:p w:rsidR="004316B4" w:rsidRDefault="00BC1128" w:rsidP="004316B4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 w:rsidRPr="004316B4">
        <w:rPr>
          <w:rFonts w:ascii="Times New Roman" w:eastAsia="PT Serif" w:hAnsi="Times New Roman" w:cs="Times New Roman"/>
          <w:color w:val="000000"/>
          <w:sz w:val="28"/>
          <w:szCs w:val="28"/>
        </w:rPr>
        <w:t>уточнение местоположения границ земельных участков;</w:t>
      </w:r>
    </w:p>
    <w:p w:rsidR="004316B4" w:rsidRDefault="00BC1128" w:rsidP="004316B4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 w:rsidRPr="004316B4">
        <w:rPr>
          <w:rFonts w:ascii="Times New Roman" w:eastAsia="PT Serif" w:hAnsi="Times New Roman" w:cs="Times New Roman"/>
          <w:color w:val="000000"/>
          <w:sz w:val="28"/>
          <w:szCs w:val="28"/>
        </w:rPr>
        <w:t>установление или уточнение местоположения на земельных участках зданий, сооружений, объектов незавершенного строительства;</w:t>
      </w:r>
      <w:r w:rsidR="004316B4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</w:p>
    <w:p w:rsidR="004316B4" w:rsidRDefault="00BC1128" w:rsidP="004316B4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 w:rsidRPr="00084413">
        <w:rPr>
          <w:rFonts w:ascii="Times New Roman" w:eastAsia="PT Serif" w:hAnsi="Times New Roman" w:cs="Times New Roman"/>
          <w:color w:val="000000"/>
          <w:sz w:val="28"/>
          <w:szCs w:val="28"/>
        </w:rPr>
        <w:t>обеспечивается образование земельных участков, на которых расположены здания;</w:t>
      </w:r>
      <w:r w:rsidR="004316B4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</w:p>
    <w:p w:rsidR="004316B4" w:rsidRDefault="00BC1128" w:rsidP="004316B4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 w:rsidRPr="00084413">
        <w:rPr>
          <w:rFonts w:ascii="Times New Roman" w:eastAsia="PT Serif" w:hAnsi="Times New Roman" w:cs="Times New Roman"/>
          <w:color w:val="000000"/>
          <w:sz w:val="28"/>
          <w:szCs w:val="28"/>
        </w:rPr>
        <w:t>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 другими объектами;</w:t>
      </w:r>
      <w:r w:rsidR="004316B4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</w:p>
    <w:p w:rsidR="00C83B91" w:rsidRPr="00084413" w:rsidRDefault="00BC1128" w:rsidP="004316B4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 w:rsidRPr="00084413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исправление реестровых ошибок в сведениях о местоположении границ объектов недвижимости. </w:t>
      </w:r>
    </w:p>
    <w:p w:rsidR="00C83B91" w:rsidRPr="00E02A77" w:rsidRDefault="00BC1128" w:rsidP="004443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contextualSpacing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E02A77">
        <w:rPr>
          <w:rFonts w:ascii="Times New Roman" w:eastAsia="PT Serif" w:hAnsi="Times New Roman" w:cs="Times New Roman"/>
          <w:sz w:val="28"/>
          <w:szCs w:val="28"/>
        </w:rPr>
        <w:t xml:space="preserve">По результатам выполнения ККР разрабатывается </w:t>
      </w:r>
      <w:r w:rsidR="004316B4" w:rsidRPr="00E02A77">
        <w:rPr>
          <w:rFonts w:ascii="Times New Roman" w:eastAsia="PT Serif" w:hAnsi="Times New Roman" w:cs="Times New Roman"/>
          <w:sz w:val="28"/>
          <w:szCs w:val="28"/>
        </w:rPr>
        <w:t>и утверждается единая карта-план территории</w:t>
      </w:r>
      <w:r w:rsidR="00E02A77">
        <w:rPr>
          <w:rFonts w:ascii="Times New Roman" w:eastAsia="PT Serif" w:hAnsi="Times New Roman" w:cs="Times New Roman"/>
          <w:sz w:val="28"/>
          <w:szCs w:val="28"/>
        </w:rPr>
        <w:t>, на</w:t>
      </w:r>
      <w:r w:rsidR="004316B4" w:rsidRPr="00E02A77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Pr="00E02A77">
        <w:rPr>
          <w:rFonts w:ascii="Times New Roman" w:eastAsia="PT Serif" w:hAnsi="Times New Roman" w:cs="Times New Roman"/>
          <w:sz w:val="28"/>
          <w:szCs w:val="28"/>
        </w:rPr>
        <w:t xml:space="preserve">основании </w:t>
      </w:r>
      <w:r w:rsidR="004316B4" w:rsidRPr="00E02A77">
        <w:rPr>
          <w:rFonts w:ascii="Times New Roman" w:eastAsia="PT Serif" w:hAnsi="Times New Roman" w:cs="Times New Roman"/>
          <w:sz w:val="28"/>
          <w:szCs w:val="28"/>
        </w:rPr>
        <w:t>которой</w:t>
      </w:r>
      <w:r w:rsidRPr="00E02A77">
        <w:rPr>
          <w:rFonts w:ascii="Times New Roman" w:eastAsia="PT Serif" w:hAnsi="Times New Roman" w:cs="Times New Roman"/>
          <w:sz w:val="28"/>
          <w:szCs w:val="28"/>
        </w:rPr>
        <w:t xml:space="preserve"> сведения вносятся в Единый государственный реестр недвижимости (ЕГРН).</w:t>
      </w:r>
    </w:p>
    <w:p w:rsidR="00C83B91" w:rsidRPr="00E02A77" w:rsidRDefault="00BC1128" w:rsidP="004443F0">
      <w:pPr>
        <w:spacing w:after="0" w:line="240" w:lineRule="auto"/>
        <w:ind w:firstLine="708"/>
        <w:contextualSpacing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B5008B">
        <w:rPr>
          <w:rFonts w:ascii="Times New Roman" w:eastAsia="PT Serif" w:hAnsi="Times New Roman" w:cs="Times New Roman"/>
          <w:sz w:val="28"/>
          <w:szCs w:val="28"/>
        </w:rPr>
        <w:t>Следует отметить, что о</w:t>
      </w:r>
      <w:r w:rsidRPr="00B5008B">
        <w:rPr>
          <w:rFonts w:ascii="Times New Roman" w:eastAsia="PT Serif" w:hAnsi="Times New Roman" w:cs="Times New Roman"/>
          <w:sz w:val="28"/>
          <w:szCs w:val="28"/>
          <w:highlight w:val="white"/>
        </w:rPr>
        <w:t>рганизация и финанси</w:t>
      </w:r>
      <w:r w:rsidR="00B5008B" w:rsidRPr="00B5008B">
        <w:rPr>
          <w:rFonts w:ascii="Times New Roman" w:eastAsia="PT Serif" w:hAnsi="Times New Roman" w:cs="Times New Roman"/>
          <w:sz w:val="28"/>
          <w:szCs w:val="28"/>
          <w:highlight w:val="white"/>
        </w:rPr>
        <w:t>рование ККР до марта 2023 года </w:t>
      </w:r>
      <w:r w:rsidRPr="00B5008B">
        <w:rPr>
          <w:rFonts w:ascii="Times New Roman" w:eastAsia="PT Serif" w:hAnsi="Times New Roman" w:cs="Times New Roman"/>
          <w:sz w:val="28"/>
          <w:szCs w:val="28"/>
          <w:highlight w:val="white"/>
        </w:rPr>
        <w:t xml:space="preserve">возлагалась на органы государственной власти и местного самоуправления. </w:t>
      </w:r>
      <w:r w:rsidRPr="00B5008B">
        <w:rPr>
          <w:rFonts w:ascii="Times New Roman" w:eastAsia="PT Serif" w:hAnsi="Times New Roman" w:cs="Times New Roman"/>
          <w:sz w:val="28"/>
          <w:szCs w:val="28"/>
        </w:rPr>
        <w:t xml:space="preserve">В этом случае, финансирование выполнения комплексных кадастровых работ осуществляется за счет средств бюджетов субъектов Российской Федерации и (или) </w:t>
      </w:r>
      <w:r w:rsidRPr="00E02A77">
        <w:rPr>
          <w:rFonts w:ascii="Times New Roman" w:eastAsia="PT Serif" w:hAnsi="Times New Roman" w:cs="Times New Roman"/>
          <w:sz w:val="28"/>
          <w:szCs w:val="28"/>
        </w:rPr>
        <w:t xml:space="preserve">бюджетов муниципальных районов, городских округов, в том числе за счет средств, направляемых в бюджеты субъектов Российской Федерации в виде субсидий из федерального бюджета. </w:t>
      </w:r>
    </w:p>
    <w:p w:rsidR="00C83B91" w:rsidRPr="00B5008B" w:rsidRDefault="00BC1128" w:rsidP="004443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5008B">
        <w:rPr>
          <w:rFonts w:ascii="Times New Roman" w:eastAsia="PT Serif" w:hAnsi="Times New Roman" w:cs="Times New Roman"/>
          <w:sz w:val="28"/>
          <w:szCs w:val="28"/>
          <w:highlight w:val="white"/>
        </w:rPr>
        <w:t xml:space="preserve">Однако, с 23 марта 2021 года, </w:t>
      </w:r>
      <w:r w:rsidR="00084413" w:rsidRPr="00B5008B">
        <w:rPr>
          <w:rFonts w:ascii="Times New Roman" w:eastAsia="PT Serif" w:hAnsi="Times New Roman" w:cs="Times New Roman"/>
          <w:sz w:val="28"/>
          <w:szCs w:val="28"/>
          <w:highlight w:val="white"/>
        </w:rPr>
        <w:t>благодаря вступившему</w:t>
      </w:r>
      <w:r w:rsidRPr="00B5008B">
        <w:rPr>
          <w:rFonts w:ascii="Times New Roman" w:eastAsia="PT Serif" w:hAnsi="Times New Roman" w:cs="Times New Roman"/>
          <w:sz w:val="28"/>
          <w:szCs w:val="28"/>
          <w:highlight w:val="white"/>
        </w:rPr>
        <w:t xml:space="preserve"> в силу Федеральному закону от 22.12.2020 № 445-ФЗ</w:t>
      </w:r>
      <w:r w:rsidRPr="00B5008B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="00D42315">
        <w:rPr>
          <w:rFonts w:ascii="Times New Roman" w:eastAsia="PT Serif" w:hAnsi="Times New Roman" w:cs="Times New Roman"/>
          <w:sz w:val="28"/>
          <w:szCs w:val="28"/>
          <w:highlight w:val="white"/>
        </w:rPr>
        <w:t>«</w:t>
      </w:r>
      <w:r w:rsidRPr="00B5008B">
        <w:rPr>
          <w:rFonts w:ascii="Times New Roman" w:eastAsia="PT Serif" w:hAnsi="Times New Roman" w:cs="Times New Roman"/>
          <w:sz w:val="28"/>
          <w:szCs w:val="28"/>
          <w:highlight w:val="white"/>
        </w:rPr>
        <w:t>О внесении изменений в отдельные законодательные акты Российской Федерации</w:t>
      </w:r>
      <w:r w:rsidR="00084413" w:rsidRPr="00B5008B">
        <w:rPr>
          <w:rFonts w:ascii="Times New Roman" w:eastAsia="PT Serif" w:hAnsi="Times New Roman" w:cs="Times New Roman"/>
          <w:sz w:val="28"/>
          <w:szCs w:val="28"/>
          <w:highlight w:val="white"/>
        </w:rPr>
        <w:t>», право</w:t>
      </w:r>
      <w:r w:rsidRPr="00B5008B">
        <w:rPr>
          <w:rFonts w:ascii="Times New Roman" w:eastAsia="PT Serif" w:hAnsi="Times New Roman" w:cs="Times New Roman"/>
          <w:sz w:val="28"/>
          <w:szCs w:val="28"/>
          <w:highlight w:val="white"/>
        </w:rPr>
        <w:t xml:space="preserve"> проводить ККР за свой счет получили граждане и юридические лица, управляющие территорией (садовые или огородные товарищества, гаражные кооперативы, инициативная группа из членов СНТ). </w:t>
      </w:r>
      <w:r w:rsidRPr="00B5008B">
        <w:rPr>
          <w:rFonts w:ascii="Times New Roman" w:eastAsia="PT Serif" w:hAnsi="Times New Roman" w:cs="Times New Roman"/>
          <w:sz w:val="28"/>
          <w:szCs w:val="28"/>
        </w:rPr>
        <w:t xml:space="preserve">Правообладатели садовых и огородных </w:t>
      </w:r>
      <w:r w:rsidRPr="00B5008B">
        <w:rPr>
          <w:rFonts w:ascii="Times New Roman" w:eastAsia="PT Serif" w:hAnsi="Times New Roman" w:cs="Times New Roman"/>
          <w:sz w:val="28"/>
          <w:szCs w:val="28"/>
        </w:rPr>
        <w:lastRenderedPageBreak/>
        <w:t>земельных участков могли и раньше сложиться, чтобы провести обычные кадастровые работы в отношении своих земельных участков и расположенных на них построек, однако в таком случае оформлять акты согласования границ приходилось по каждому уточняемому участку. При этом каждый собственник должен был самостоятельно обращаться в орган регистрации прав. В результате вся процедура становилась длительнее и дороже.</w:t>
      </w:r>
      <w:r w:rsidRPr="00B5008B">
        <w:rPr>
          <w:rFonts w:ascii="Times New Roman" w:eastAsia="PT Serif" w:hAnsi="Times New Roman" w:cs="Times New Roman"/>
          <w:sz w:val="28"/>
          <w:szCs w:val="28"/>
          <w:highlight w:val="white"/>
        </w:rPr>
        <w:t> </w:t>
      </w:r>
    </w:p>
    <w:p w:rsidR="00C83B91" w:rsidRPr="00B5008B" w:rsidRDefault="004316B4" w:rsidP="004443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b/>
          <w:sz w:val="28"/>
          <w:szCs w:val="28"/>
        </w:rPr>
        <w:t>ККР</w:t>
      </w:r>
      <w:r w:rsidR="00BC1128" w:rsidRPr="00B5008B">
        <w:rPr>
          <w:rFonts w:ascii="Times New Roman" w:eastAsia="PT Serif" w:hAnsi="Times New Roman" w:cs="Times New Roman"/>
          <w:b/>
          <w:sz w:val="28"/>
          <w:szCs w:val="28"/>
        </w:rPr>
        <w:t xml:space="preserve"> </w:t>
      </w:r>
      <w:r w:rsidR="00BC1128" w:rsidRPr="004316B4">
        <w:rPr>
          <w:rFonts w:ascii="Times New Roman" w:eastAsia="PT Serif" w:hAnsi="Times New Roman" w:cs="Times New Roman"/>
          <w:sz w:val="28"/>
          <w:szCs w:val="28"/>
        </w:rPr>
        <w:t>имеют следующие</w:t>
      </w:r>
      <w:r w:rsidR="00BC1128" w:rsidRPr="00B5008B">
        <w:rPr>
          <w:rFonts w:ascii="Times New Roman" w:eastAsia="PT Serif" w:hAnsi="Times New Roman" w:cs="Times New Roman"/>
          <w:b/>
          <w:sz w:val="28"/>
          <w:szCs w:val="28"/>
        </w:rPr>
        <w:t xml:space="preserve"> преимущества:</w:t>
      </w:r>
    </w:p>
    <w:p w:rsidR="00C83B91" w:rsidRPr="00B5008B" w:rsidRDefault="00BC1128" w:rsidP="004316B4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08B">
        <w:rPr>
          <w:rFonts w:ascii="Times New Roman" w:eastAsia="PT Serif" w:hAnsi="Times New Roman" w:cs="Times New Roman"/>
          <w:b/>
          <w:sz w:val="28"/>
          <w:szCs w:val="28"/>
        </w:rPr>
        <w:t>Они дешевле</w:t>
      </w:r>
      <w:r w:rsidRPr="00B5008B">
        <w:rPr>
          <w:rFonts w:ascii="Times New Roman" w:eastAsia="PT Serif" w:hAnsi="Times New Roman" w:cs="Times New Roman"/>
          <w:sz w:val="28"/>
          <w:szCs w:val="28"/>
        </w:rPr>
        <w:t>, чем кадастровые работы, выполняемые в индивидуальном порядке. Таким образом, ККР позволяют сэкономить и обойтись одной процедурой для внесения сведений в ЕГРН сразу по целому массиву земельных участков.</w:t>
      </w:r>
    </w:p>
    <w:p w:rsidR="00C83B91" w:rsidRPr="00B5008B" w:rsidRDefault="00BC1128" w:rsidP="004316B4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08B">
        <w:rPr>
          <w:rFonts w:ascii="Times New Roman" w:eastAsia="PT Serif" w:hAnsi="Times New Roman" w:cs="Times New Roman"/>
          <w:sz w:val="28"/>
          <w:szCs w:val="28"/>
        </w:rPr>
        <w:t>Проведение комплексных кадастровых работ позволяет </w:t>
      </w:r>
      <w:r w:rsidRPr="00B5008B">
        <w:rPr>
          <w:rFonts w:ascii="Times New Roman" w:eastAsia="PT Serif" w:hAnsi="Times New Roman" w:cs="Times New Roman"/>
          <w:b/>
          <w:sz w:val="28"/>
          <w:szCs w:val="28"/>
        </w:rPr>
        <w:t>сократить количество земельных споров, устранить имеющиеся ошибки</w:t>
      </w:r>
      <w:r w:rsidRPr="00B5008B">
        <w:rPr>
          <w:rFonts w:ascii="Times New Roman" w:eastAsia="PT Serif" w:hAnsi="Times New Roman" w:cs="Times New Roman"/>
          <w:sz w:val="28"/>
          <w:szCs w:val="28"/>
        </w:rPr>
        <w:t xml:space="preserve">. Снижается вероятность возникновения новых ошибок, поскольку одновременно уточняются границы группы земельных участков. При этом согласованием местоположения границ занимается специальная согласительная комиссия, что избавляет собственников делать это в индивидуальном порядке. </w:t>
      </w:r>
    </w:p>
    <w:p w:rsidR="00C83B91" w:rsidRPr="00B5008B" w:rsidRDefault="00BC1128" w:rsidP="004316B4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08B">
        <w:rPr>
          <w:rFonts w:ascii="Times New Roman" w:eastAsia="PT Serif" w:hAnsi="Times New Roman" w:cs="Times New Roman"/>
          <w:sz w:val="28"/>
          <w:szCs w:val="28"/>
        </w:rPr>
        <w:t>В рамках ККР </w:t>
      </w:r>
      <w:r w:rsidRPr="00B5008B">
        <w:rPr>
          <w:rFonts w:ascii="Times New Roman" w:eastAsia="PT Serif" w:hAnsi="Times New Roman" w:cs="Times New Roman"/>
          <w:b/>
          <w:sz w:val="28"/>
          <w:szCs w:val="28"/>
        </w:rPr>
        <w:t>определяется местоположение контуров зданий и сооружений</w:t>
      </w:r>
      <w:r w:rsidRPr="00B5008B">
        <w:rPr>
          <w:rFonts w:ascii="Times New Roman" w:eastAsia="PT Serif" w:hAnsi="Times New Roman" w:cs="Times New Roman"/>
          <w:sz w:val="28"/>
          <w:szCs w:val="28"/>
        </w:rPr>
        <w:t> (появляется возможность одновременно устранить имеющиеся ошибки и осуществить "привязку" зданий и сооружений к земельным участкам).</w:t>
      </w:r>
    </w:p>
    <w:p w:rsidR="004316B4" w:rsidRDefault="00BC1128" w:rsidP="004443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B5008B">
        <w:rPr>
          <w:rFonts w:ascii="Times New Roman" w:eastAsia="PT Serif" w:hAnsi="Times New Roman" w:cs="Times New Roman"/>
          <w:sz w:val="28"/>
          <w:szCs w:val="28"/>
        </w:rPr>
        <w:t xml:space="preserve">ККР проводятся и на территории Ивановской области, заказчиками которых выступают органы местного самоуправления. </w:t>
      </w:r>
      <w:r w:rsidRPr="00B5008B">
        <w:rPr>
          <w:rFonts w:ascii="Times New Roman" w:eastAsia="PT Serif" w:hAnsi="Times New Roman" w:cs="Times New Roman"/>
          <w:sz w:val="28"/>
          <w:szCs w:val="28"/>
        </w:rPr>
        <w:tab/>
      </w:r>
    </w:p>
    <w:p w:rsidR="004316B4" w:rsidRDefault="00BC1128" w:rsidP="004443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B5008B">
        <w:rPr>
          <w:rFonts w:ascii="Times New Roman" w:eastAsia="PT Serif" w:hAnsi="Times New Roman" w:cs="Times New Roman"/>
          <w:sz w:val="28"/>
          <w:szCs w:val="28"/>
        </w:rPr>
        <w:t>Так, за 2024 год ККР были проведены на территории</w:t>
      </w:r>
      <w:r w:rsidR="004316B4">
        <w:rPr>
          <w:rFonts w:ascii="Times New Roman" w:eastAsia="PT Serif" w:hAnsi="Times New Roman" w:cs="Times New Roman"/>
          <w:sz w:val="28"/>
          <w:szCs w:val="28"/>
        </w:rPr>
        <w:t>:</w:t>
      </w:r>
    </w:p>
    <w:p w:rsidR="004316B4" w:rsidRPr="004316B4" w:rsidRDefault="00BC1128" w:rsidP="004316B4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4316B4">
        <w:rPr>
          <w:rFonts w:ascii="Times New Roman" w:eastAsia="PT Serif" w:hAnsi="Times New Roman" w:cs="Times New Roman"/>
          <w:sz w:val="28"/>
          <w:szCs w:val="28"/>
        </w:rPr>
        <w:t xml:space="preserve">Родниковского района (1 кадастровый квартал), </w:t>
      </w:r>
    </w:p>
    <w:p w:rsidR="004316B4" w:rsidRPr="004316B4" w:rsidRDefault="00BC1128" w:rsidP="004316B4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4316B4">
        <w:rPr>
          <w:rFonts w:ascii="Times New Roman" w:eastAsia="PT Serif" w:hAnsi="Times New Roman" w:cs="Times New Roman"/>
          <w:sz w:val="28"/>
          <w:szCs w:val="28"/>
        </w:rPr>
        <w:t xml:space="preserve">г. Кохма (2 кадастровых квартала), </w:t>
      </w:r>
    </w:p>
    <w:p w:rsidR="004316B4" w:rsidRPr="004316B4" w:rsidRDefault="00BC1128" w:rsidP="004316B4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4316B4">
        <w:rPr>
          <w:rFonts w:ascii="Times New Roman" w:eastAsia="PT Serif" w:hAnsi="Times New Roman" w:cs="Times New Roman"/>
          <w:sz w:val="28"/>
          <w:szCs w:val="28"/>
        </w:rPr>
        <w:t xml:space="preserve">Тейковского района (2 кадастровых квартала), </w:t>
      </w:r>
    </w:p>
    <w:p w:rsidR="004316B4" w:rsidRPr="004316B4" w:rsidRDefault="00BC1128" w:rsidP="004316B4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4316B4">
        <w:rPr>
          <w:rFonts w:ascii="Times New Roman" w:eastAsia="PT Serif" w:hAnsi="Times New Roman" w:cs="Times New Roman"/>
          <w:sz w:val="28"/>
          <w:szCs w:val="28"/>
        </w:rPr>
        <w:t xml:space="preserve">г. Шуя (4 кадастровых квартала). </w:t>
      </w:r>
    </w:p>
    <w:p w:rsidR="00C83B91" w:rsidRDefault="00BC1128" w:rsidP="004443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PT Serif" w:hAnsi="Times New Roman" w:cs="Times New Roman"/>
          <w:color w:val="292C2F"/>
          <w:sz w:val="28"/>
          <w:szCs w:val="28"/>
        </w:rPr>
      </w:pPr>
      <w:r w:rsidRPr="00B5008B">
        <w:rPr>
          <w:rFonts w:ascii="Times New Roman" w:eastAsia="PT Serif" w:hAnsi="Times New Roman" w:cs="Times New Roman"/>
          <w:sz w:val="28"/>
          <w:szCs w:val="28"/>
        </w:rPr>
        <w:t>На 2025 год запланировано проведение ККР на территории г. Иваново, г. Кохма, г. Шуя, Вичугского, Ивановского и Ро</w:t>
      </w:r>
      <w:r w:rsidR="00AE3161" w:rsidRPr="00B5008B">
        <w:rPr>
          <w:rFonts w:ascii="Times New Roman" w:eastAsia="PT Serif" w:hAnsi="Times New Roman" w:cs="Times New Roman"/>
          <w:sz w:val="28"/>
          <w:szCs w:val="28"/>
        </w:rPr>
        <w:t>дниковского районов</w:t>
      </w:r>
      <w:r w:rsidR="00AE3161">
        <w:rPr>
          <w:rFonts w:ascii="Times New Roman" w:eastAsia="PT Serif" w:hAnsi="Times New Roman" w:cs="Times New Roman"/>
          <w:color w:val="292C2F"/>
          <w:sz w:val="28"/>
          <w:szCs w:val="28"/>
        </w:rPr>
        <w:t>.</w:t>
      </w:r>
    </w:p>
    <w:p w:rsidR="007C062A" w:rsidRPr="00E02A77" w:rsidRDefault="002408B4" w:rsidP="004443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A77">
        <w:rPr>
          <w:rFonts w:ascii="Times New Roman" w:hAnsi="Times New Roman" w:cs="Times New Roman"/>
          <w:i/>
          <w:sz w:val="28"/>
          <w:szCs w:val="28"/>
        </w:rPr>
        <w:t>«Проведение данных работ позволяет существенно повысить качество данных, содержащихся в ЕГРН за счет внесения в него сведений о границах земельных участков, кадастровый учет которых осуществлен. Это необходимо для защиты прав собственности, формирования налоговой базы, совершенствования земельно-имущест</w:t>
      </w:r>
      <w:bookmarkStart w:id="0" w:name="_GoBack"/>
      <w:bookmarkEnd w:id="0"/>
      <w:r w:rsidRPr="00E02A77">
        <w:rPr>
          <w:rFonts w:ascii="Times New Roman" w:hAnsi="Times New Roman" w:cs="Times New Roman"/>
          <w:i/>
          <w:sz w:val="28"/>
          <w:szCs w:val="28"/>
        </w:rPr>
        <w:t>венных отношений и повышения инвестиционной привлекательности района» - отметил Дмитрий Скворцов, председатель Комитета по управлению имуществом администрации Родниковского муниципального района.</w:t>
      </w:r>
      <w:r w:rsidRPr="00E02A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3B91" w:rsidRPr="00B5008B" w:rsidRDefault="00BC1128" w:rsidP="004443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08B">
        <w:rPr>
          <w:rFonts w:ascii="Times New Roman" w:eastAsia="PT Serif" w:hAnsi="Times New Roman" w:cs="Times New Roman"/>
          <w:sz w:val="28"/>
          <w:szCs w:val="28"/>
        </w:rPr>
        <w:t>Таким образом, с</w:t>
      </w:r>
      <w:r w:rsidRPr="00B5008B">
        <w:rPr>
          <w:rFonts w:ascii="Times New Roman" w:eastAsia="PT Serif" w:hAnsi="Times New Roman" w:cs="Times New Roman"/>
          <w:sz w:val="28"/>
          <w:szCs w:val="28"/>
          <w:highlight w:val="white"/>
        </w:rPr>
        <w:t xml:space="preserve"> момента, когда ККР стали проводить в России, они прочно завоевали популярность, как инструмент, наи</w:t>
      </w:r>
      <w:r w:rsidR="00B5008B">
        <w:rPr>
          <w:rFonts w:ascii="Times New Roman" w:eastAsia="PT Serif" w:hAnsi="Times New Roman" w:cs="Times New Roman"/>
          <w:sz w:val="28"/>
          <w:szCs w:val="28"/>
          <w:highlight w:val="white"/>
        </w:rPr>
        <w:t xml:space="preserve">более эффективный и удобный для </w:t>
      </w:r>
      <w:r w:rsidRPr="00B5008B">
        <w:rPr>
          <w:rFonts w:ascii="Times New Roman" w:eastAsia="PT Serif" w:hAnsi="Times New Roman" w:cs="Times New Roman"/>
          <w:sz w:val="28"/>
          <w:szCs w:val="28"/>
          <w:highlight w:val="white"/>
        </w:rPr>
        <w:t>уточнения границ земельных участков и исправления реестровых ошибок.</w:t>
      </w:r>
    </w:p>
    <w:p w:rsidR="00C83B91" w:rsidRDefault="00C83B91">
      <w:pPr>
        <w:contextualSpacing/>
        <w:jc w:val="both"/>
        <w:rPr>
          <w:rFonts w:ascii="PT Serif" w:hAnsi="PT Serif" w:cs="PT Serif"/>
          <w:sz w:val="28"/>
          <w:szCs w:val="28"/>
        </w:rPr>
      </w:pPr>
    </w:p>
    <w:sectPr w:rsidR="00C83B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91" w:rsidRDefault="00BC1128">
      <w:pPr>
        <w:spacing w:after="0" w:line="240" w:lineRule="auto"/>
      </w:pPr>
      <w:r>
        <w:separator/>
      </w:r>
    </w:p>
  </w:endnote>
  <w:endnote w:type="continuationSeparator" w:id="0">
    <w:p w:rsidR="00C83B91" w:rsidRDefault="00BC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91" w:rsidRDefault="00BC1128">
      <w:pPr>
        <w:spacing w:after="0" w:line="240" w:lineRule="auto"/>
      </w:pPr>
      <w:r>
        <w:separator/>
      </w:r>
    </w:p>
  </w:footnote>
  <w:footnote w:type="continuationSeparator" w:id="0">
    <w:p w:rsidR="00C83B91" w:rsidRDefault="00BC1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E30"/>
    <w:multiLevelType w:val="hybridMultilevel"/>
    <w:tmpl w:val="81565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154241"/>
    <w:multiLevelType w:val="hybridMultilevel"/>
    <w:tmpl w:val="D52E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5BCA"/>
    <w:multiLevelType w:val="hybridMultilevel"/>
    <w:tmpl w:val="5EDC97B4"/>
    <w:lvl w:ilvl="0" w:tplc="692AC7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1" w:tplc="D00A88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2" w:tplc="2C668FD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3" w:tplc="4D8EC2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4" w:tplc="923A5E4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5" w:tplc="9274E97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  <w:lvl w:ilvl="6" w:tplc="A304834C">
      <w:start w:val="1"/>
      <w:numFmt w:val="bullet"/>
      <w:lvlText w:val="·"/>
      <w:lvlJc w:val="left"/>
      <w:pPr>
        <w:ind w:left="7189" w:hanging="360"/>
      </w:pPr>
      <w:rPr>
        <w:rFonts w:ascii="Symbol" w:eastAsia="Symbol" w:hAnsi="Symbol" w:cs="Symbol" w:hint="default"/>
      </w:rPr>
    </w:lvl>
    <w:lvl w:ilvl="7" w:tplc="61DCBACC">
      <w:start w:val="1"/>
      <w:numFmt w:val="bullet"/>
      <w:lvlText w:val="·"/>
      <w:lvlJc w:val="left"/>
      <w:pPr>
        <w:ind w:left="7909" w:hanging="360"/>
      </w:pPr>
      <w:rPr>
        <w:rFonts w:ascii="Symbol" w:eastAsia="Symbol" w:hAnsi="Symbol" w:cs="Symbol" w:hint="default"/>
      </w:rPr>
    </w:lvl>
    <w:lvl w:ilvl="8" w:tplc="DD221FF8">
      <w:start w:val="1"/>
      <w:numFmt w:val="bullet"/>
      <w:lvlText w:val="·"/>
      <w:lvlJc w:val="left"/>
      <w:pPr>
        <w:ind w:left="862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203D6B59"/>
    <w:multiLevelType w:val="hybridMultilevel"/>
    <w:tmpl w:val="EF1A7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3C9568E"/>
    <w:multiLevelType w:val="hybridMultilevel"/>
    <w:tmpl w:val="821E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5545F"/>
    <w:multiLevelType w:val="hybridMultilevel"/>
    <w:tmpl w:val="EFA675A6"/>
    <w:lvl w:ilvl="0" w:tplc="C7E089C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92C2F"/>
        <w:sz w:val="24"/>
      </w:rPr>
    </w:lvl>
    <w:lvl w:ilvl="1" w:tplc="41C6A93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92C2F"/>
        <w:sz w:val="24"/>
      </w:rPr>
    </w:lvl>
    <w:lvl w:ilvl="2" w:tplc="0310EF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92C2F"/>
        <w:sz w:val="24"/>
      </w:rPr>
    </w:lvl>
    <w:lvl w:ilvl="3" w:tplc="C5DADFB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92C2F"/>
        <w:sz w:val="24"/>
      </w:rPr>
    </w:lvl>
    <w:lvl w:ilvl="4" w:tplc="745419A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92C2F"/>
        <w:sz w:val="24"/>
      </w:rPr>
    </w:lvl>
    <w:lvl w:ilvl="5" w:tplc="8D403F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92C2F"/>
        <w:sz w:val="24"/>
      </w:rPr>
    </w:lvl>
    <w:lvl w:ilvl="6" w:tplc="55F28F1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92C2F"/>
        <w:sz w:val="24"/>
      </w:rPr>
    </w:lvl>
    <w:lvl w:ilvl="7" w:tplc="FF144C1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92C2F"/>
        <w:sz w:val="24"/>
      </w:rPr>
    </w:lvl>
    <w:lvl w:ilvl="8" w:tplc="78D4E912">
      <w:start w:val="1"/>
      <w:numFmt w:val="bullet"/>
      <w:lvlText w:val="·"/>
      <w:lvlJc w:val="left"/>
      <w:pPr>
        <w:ind w:left="7189" w:hanging="360"/>
      </w:pPr>
      <w:rPr>
        <w:rFonts w:ascii="Symbol" w:eastAsia="Symbol" w:hAnsi="Symbol" w:cs="Symbol" w:hint="default"/>
        <w:color w:val="292C2F"/>
        <w:sz w:val="24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91"/>
    <w:rsid w:val="00084413"/>
    <w:rsid w:val="000941FC"/>
    <w:rsid w:val="002408B4"/>
    <w:rsid w:val="004316B4"/>
    <w:rsid w:val="004443F0"/>
    <w:rsid w:val="007C062A"/>
    <w:rsid w:val="007E264C"/>
    <w:rsid w:val="00A1070A"/>
    <w:rsid w:val="00AE3161"/>
    <w:rsid w:val="00B32E2A"/>
    <w:rsid w:val="00B5008B"/>
    <w:rsid w:val="00BC1128"/>
    <w:rsid w:val="00C83B91"/>
    <w:rsid w:val="00D42315"/>
    <w:rsid w:val="00E02A77"/>
    <w:rsid w:val="00F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E817"/>
  <w15:docId w15:val="{AF41CCAF-38AE-4838-91F7-60E67F7B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Шевелева Ольга Борисовна</cp:lastModifiedBy>
  <cp:revision>19</cp:revision>
  <dcterms:created xsi:type="dcterms:W3CDTF">2024-10-24T05:51:00Z</dcterms:created>
  <dcterms:modified xsi:type="dcterms:W3CDTF">2024-11-02T12:35:00Z</dcterms:modified>
</cp:coreProperties>
</file>