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Росреестр отвечает</w:t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Вопрос:</w:t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В</w:t>
      </w:r>
      <w:r>
        <w:rPr>
          <w:rFonts w:eastAsia="Tinos" w:cs="Tinos" w:ascii="Tinos" w:hAnsi="Tinos"/>
          <w:color w:val="000000" w:themeColor="text1"/>
          <w:sz w:val="28"/>
          <w:szCs w:val="28"/>
        </w:rPr>
        <w:t xml:space="preserve"> </w:t>
      </w: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настоящее время в Ивановской области реализуется программа догазификации, которая не распространяется на многоквартирные жилые дома. Прошу разъяснить порядок действий по переводу жилого дома с квартирами в дом блокированной застройки.</w:t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b/>
          <w:bCs/>
          <w:color w:val="000000" w:themeColor="text1"/>
          <w:sz w:val="28"/>
          <w:szCs w:val="28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Ответ:</w:t>
      </w:r>
      <w:r>
        <w:rPr>
          <w:rFonts w:eastAsia="Tinos" w:cs="Tinos" w:ascii="Tinos" w:hAnsi="Tinos"/>
          <w:color w:val="000000" w:themeColor="text1"/>
          <w:sz w:val="28"/>
          <w:szCs w:val="28"/>
        </w:rPr>
        <w:t xml:space="preserve"> </w:t>
      </w:r>
    </w:p>
    <w:p>
      <w:pPr>
        <w:pStyle w:val="Normal"/>
        <w:shd w:val="clear" w:color="FFFFFF" w:fill="FFFFFF"/>
        <w:spacing w:before="0" w:after="210"/>
        <w:ind w:left="0" w:right="0" w:hanging="0"/>
        <w:contextualSpacing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 xml:space="preserve">Отвечает </w:t>
      </w: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>з</w:t>
      </w:r>
      <w:r>
        <w:rPr>
          <w:rFonts w:eastAsia="Tinos" w:cs="Tinos" w:ascii="Tinos" w:hAnsi="Tinos"/>
          <w:b/>
          <w:bCs/>
          <w:color w:val="000000" w:themeColor="text1"/>
          <w:sz w:val="28"/>
          <w:szCs w:val="28"/>
        </w:rPr>
        <w:t xml:space="preserve">аместитель руководителя Управления Росреестра по Ивановской области Ольга Смирнова: </w:t>
      </w:r>
      <w:r>
        <w:rPr>
          <w:rFonts w:eastAsia="Tinos" w:cs="Tinos" w:ascii="Tinos" w:hAnsi="Tinos"/>
          <w:color w:val="000000" w:themeColor="text1"/>
          <w:sz w:val="28"/>
          <w:szCs w:val="28"/>
        </w:rPr>
        <w:t>Если в Едином государственном реестре недвижимости (ЕГРН) содержатся сведения о квартирах в составе жилого дома и эти квартиры соответствуют характеристикам жилого блока в жилом доме блокированной застройки (то есть жилые помещения в доме имеют общую боковую стену без проемов и отдельный выход на земельный участок), то сведения о таких квартирах могут быть внесены в ЕГРН как о доме блокированной застройки.</w:t>
      </w:r>
    </w:p>
    <w:p>
      <w:pPr>
        <w:pStyle w:val="Normal"/>
        <w:shd w:val="clear" w:color="FFFFFF" w:fill="FFFFFF"/>
        <w:spacing w:before="0" w:after="210"/>
        <w:ind w:left="0" w:right="0" w:hanging="0"/>
        <w:jc w:val="both"/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eastAsia="Tinos" w:cs="Tinos" w:ascii="Tinos" w:hAnsi="Tinos"/>
          <w:color w:val="000000" w:themeColor="text1"/>
          <w:sz w:val="28"/>
          <w:szCs w:val="28"/>
        </w:rPr>
        <w:t xml:space="preserve">Для этого </w:t>
      </w:r>
      <w:r>
        <w:rPr>
          <w:rFonts w:eastAsia="Tinos" w:cs="Tinos" w:ascii="Tinos" w:hAnsi="Tinos"/>
          <w:b w:val="false"/>
          <w:bCs w:val="false"/>
          <w:color w:val="000000" w:themeColor="text1"/>
          <w:sz w:val="28"/>
          <w:szCs w:val="28"/>
        </w:rPr>
        <w:t>все собственники квартир вправе обратиться в орган регистрации прав (или совместным решением, оформленным в письменной форме,</w:t>
      </w:r>
      <w:r>
        <w:rPr>
          <w:rFonts w:eastAsia="Tinos" w:cs="Tinos" w:ascii="Tinos" w:hAnsi="Tinos"/>
          <w:color w:val="000000" w:themeColor="text1"/>
          <w:sz w:val="28"/>
          <w:szCs w:val="28"/>
        </w:rPr>
        <w:t> уполномочить одного из собственников на обращение) с заявлением об учете изменений сведений  ЕГРН в части приведения вида, назначения и вида разрешенного использования объекта недвижимости. Такое заявление можно  представить лично, обратившись в офис МФЦ, либо посредством портала Росреестра.</w:t>
      </w:r>
    </w:p>
    <w:p>
      <w:pPr>
        <w:pStyle w:val="Normal"/>
        <w:shd w:val="clear" w:color="FFFFFF" w:fill="FFFFFF"/>
        <w:spacing w:before="0" w:after="210"/>
        <w:ind w:left="0" w:right="0" w:hanging="0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eastAsia="Tinos" w:cs="Tinos" w:ascii="Tinos" w:hAnsi="Tinos"/>
          <w:color w:val="000000" w:themeColor="text1"/>
          <w:sz w:val="28"/>
          <w:szCs w:val="28"/>
        </w:rPr>
        <w:t>При этом подготовка заключений и актов органами местного самоуправления, уплата государственной пошлины в данном случае не требуются.</w:t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688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33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Pages>1</Pages>
  <Words>176</Words>
  <Characters>1160</Characters>
  <CharactersWithSpaces>1332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2025-02-12T09:09:49Z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